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C1D" w:rsidRPr="00E46C1D" w:rsidRDefault="00E46C1D" w:rsidP="00E46C1D">
      <w:pPr>
        <w:autoSpaceDE w:val="0"/>
        <w:spacing w:line="360" w:lineRule="auto"/>
        <w:jc w:val="center"/>
        <w:rPr>
          <w:rFonts w:ascii="Copperplate Gothic Light" w:hAnsi="Copperplate Gothic Light"/>
          <w:b/>
        </w:rPr>
      </w:pPr>
      <w:r w:rsidRPr="00E46C1D">
        <w:rPr>
          <w:rFonts w:ascii="Copperplate Gothic Light" w:hAnsi="Copperplate Gothic Light"/>
          <w:b/>
        </w:rPr>
        <w:t xml:space="preserve">Educação </w:t>
      </w:r>
      <w:r w:rsidRPr="00E46C1D">
        <w:rPr>
          <w:rFonts w:ascii="Copperplate Gothic Light" w:hAnsi="Copperplate Gothic Light"/>
          <w:b/>
          <w:i/>
        </w:rPr>
        <w:t>online</w:t>
      </w:r>
      <w:r w:rsidRPr="00E46C1D">
        <w:rPr>
          <w:rFonts w:ascii="Copperplate Gothic Light" w:hAnsi="Copperplate Gothic Light"/>
          <w:b/>
        </w:rPr>
        <w:t>: fenômeno da cibercultura</w:t>
      </w:r>
    </w:p>
    <w:p w:rsidR="00E46C1D" w:rsidRPr="00E46C1D" w:rsidRDefault="00E46C1D" w:rsidP="00E46C1D">
      <w:pPr>
        <w:autoSpaceDE w:val="0"/>
        <w:spacing w:line="360" w:lineRule="auto"/>
        <w:jc w:val="right"/>
        <w:rPr>
          <w:rFonts w:ascii="Copperplate Gothic Light" w:hAnsi="Copperplate Gothic Light"/>
          <w:b/>
        </w:rPr>
      </w:pPr>
      <w:r w:rsidRPr="00E46C1D">
        <w:rPr>
          <w:rFonts w:ascii="Copperplate Gothic Light" w:hAnsi="Copperplate Gothic Light"/>
          <w:b/>
        </w:rPr>
        <w:t>Helena Rodrigues de Sá</w:t>
      </w:r>
    </w:p>
    <w:p w:rsidR="00E46C1D" w:rsidRPr="00EF534D" w:rsidRDefault="00E46C1D" w:rsidP="00E46C1D">
      <w:pPr>
        <w:autoSpaceDE w:val="0"/>
        <w:spacing w:line="360" w:lineRule="auto"/>
        <w:ind w:firstLine="709"/>
        <w:jc w:val="both"/>
      </w:pPr>
    </w:p>
    <w:p w:rsidR="00E46C1D" w:rsidRPr="00EF534D" w:rsidRDefault="00E46C1D" w:rsidP="00E46C1D">
      <w:pPr>
        <w:autoSpaceDE w:val="0"/>
        <w:spacing w:line="360" w:lineRule="auto"/>
        <w:ind w:firstLine="709"/>
        <w:jc w:val="both"/>
      </w:pPr>
      <w:r>
        <w:t xml:space="preserve">Partimos do princípio que </w:t>
      </w:r>
      <w:r w:rsidRPr="00EF534D">
        <w:t xml:space="preserve">educação </w:t>
      </w:r>
      <w:r w:rsidRPr="00EF534D">
        <w:rPr>
          <w:i/>
        </w:rPr>
        <w:t>online</w:t>
      </w:r>
      <w:r w:rsidRPr="00EF534D">
        <w:t xml:space="preserve"> é um fenômeno da cibercultura e não um estágio evolutivo da EAD (</w:t>
      </w:r>
      <w:proofErr w:type="gramStart"/>
      <w:r w:rsidRPr="00EF534D">
        <w:t>SANTOS, 2005</w:t>
      </w:r>
      <w:proofErr w:type="gramEnd"/>
      <w:r w:rsidRPr="00EF534D">
        <w:t xml:space="preserve">). </w:t>
      </w:r>
      <w:proofErr w:type="spellStart"/>
      <w:r w:rsidRPr="00EF534D">
        <w:t>Moran</w:t>
      </w:r>
      <w:proofErr w:type="spellEnd"/>
      <w:r w:rsidRPr="00EF534D">
        <w:t xml:space="preserve"> (2006, p. 41) apresenta-nos a educação </w:t>
      </w:r>
      <w:r w:rsidRPr="00EF534D">
        <w:rPr>
          <w:i/>
        </w:rPr>
        <w:t>online</w:t>
      </w:r>
      <w:r w:rsidRPr="00EF534D">
        <w:t xml:space="preserve"> como “o conjunto de ações de ensino-aprendizagem desenvolvidas por meio telemáticos, como a internet, a videoconferência e a teleconferência”. Esta modalidade lança mão das interfaces de comunicação e de conteúdo dispostas no AVA para que a aprendizagem aconteça de forma colaborativa, que vá além da </w:t>
      </w:r>
      <w:proofErr w:type="spellStart"/>
      <w:proofErr w:type="gramStart"/>
      <w:r w:rsidRPr="00EF534D">
        <w:t>auto-aprendizagem</w:t>
      </w:r>
      <w:proofErr w:type="spellEnd"/>
      <w:proofErr w:type="gramEnd"/>
      <w:r w:rsidRPr="00EF534D">
        <w:t xml:space="preserve">, enquanto a EAD lança mão do material didático, seja impresso ou digital, para que o </w:t>
      </w:r>
      <w:proofErr w:type="spellStart"/>
      <w:r w:rsidRPr="00EF534D">
        <w:t>cursista</w:t>
      </w:r>
      <w:proofErr w:type="spellEnd"/>
      <w:r w:rsidRPr="00EF534D">
        <w:t xml:space="preserve"> aprenda de forma solitária, por meio da </w:t>
      </w:r>
      <w:proofErr w:type="spellStart"/>
      <w:r w:rsidRPr="00EF534D">
        <w:t>auto-aprendizagem</w:t>
      </w:r>
      <w:proofErr w:type="spellEnd"/>
      <w:r w:rsidRPr="00EF534D">
        <w:t xml:space="preserve">. Santos (2005, p. 111) mostra claramente a diferença entre essas duas </w:t>
      </w:r>
      <w:proofErr w:type="gramStart"/>
      <w:r w:rsidRPr="00EF534D">
        <w:t>modalidades</w:t>
      </w:r>
      <w:proofErr w:type="gramEnd"/>
    </w:p>
    <w:p w:rsidR="00E46C1D" w:rsidRPr="00EF534D" w:rsidRDefault="00E46C1D" w:rsidP="00E46C1D">
      <w:pPr>
        <w:autoSpaceDE w:val="0"/>
        <w:spacing w:line="360" w:lineRule="auto"/>
        <w:ind w:firstLine="709"/>
        <w:jc w:val="both"/>
      </w:pPr>
    </w:p>
    <w:p w:rsidR="00E46C1D" w:rsidRPr="00EF534D" w:rsidRDefault="00E46C1D" w:rsidP="00E46C1D">
      <w:pPr>
        <w:ind w:left="2268"/>
        <w:jc w:val="both"/>
        <w:rPr>
          <w:sz w:val="20"/>
          <w:szCs w:val="20"/>
        </w:rPr>
      </w:pPr>
      <w:r w:rsidRPr="00EF534D">
        <w:rPr>
          <w:sz w:val="20"/>
          <w:szCs w:val="20"/>
        </w:rPr>
        <w:t xml:space="preserve">Nas práticas convencionais de EAD temos a autoaprendizagem como característica </w:t>
      </w:r>
      <w:proofErr w:type="spellStart"/>
      <w:r w:rsidRPr="00EF534D">
        <w:rPr>
          <w:sz w:val="20"/>
          <w:szCs w:val="20"/>
        </w:rPr>
        <w:t>fundante</w:t>
      </w:r>
      <w:proofErr w:type="spellEnd"/>
      <w:r w:rsidRPr="00EF534D">
        <w:rPr>
          <w:sz w:val="20"/>
          <w:szCs w:val="20"/>
        </w:rPr>
        <w:t xml:space="preserve">, ou seja, o </w:t>
      </w:r>
      <w:proofErr w:type="spellStart"/>
      <w:r w:rsidRPr="00EF534D">
        <w:rPr>
          <w:sz w:val="20"/>
          <w:szCs w:val="20"/>
        </w:rPr>
        <w:t>cursista</w:t>
      </w:r>
      <w:proofErr w:type="spellEnd"/>
      <w:r w:rsidRPr="00EF534D">
        <w:rPr>
          <w:sz w:val="20"/>
          <w:szCs w:val="20"/>
        </w:rPr>
        <w:t xml:space="preserve"> recebe o material do curso com instruções que envolvem conteúdos e atividades, elabora sua produção individual retornando-a, via canais de comunicação, ao professor-tutor. Assim a aprendizagem é construída e mediada pelo material didático produzido à luz de um desenho instrucional. A instrução é o centro do processo. O sujeito aprende sozinho e no seu tempo tendo o material didático um papel muito importante.</w:t>
      </w:r>
    </w:p>
    <w:p w:rsidR="00E46C1D" w:rsidRPr="00EF534D" w:rsidRDefault="00E46C1D" w:rsidP="00E46C1D">
      <w:pPr>
        <w:ind w:left="2268"/>
        <w:jc w:val="both"/>
        <w:rPr>
          <w:sz w:val="20"/>
          <w:szCs w:val="20"/>
        </w:rPr>
      </w:pPr>
      <w:r w:rsidRPr="00EF534D">
        <w:rPr>
          <w:sz w:val="20"/>
          <w:szCs w:val="20"/>
        </w:rPr>
        <w:t xml:space="preserve">O que muda então com a educação </w:t>
      </w:r>
      <w:r w:rsidRPr="00EF534D">
        <w:rPr>
          <w:i/>
          <w:sz w:val="20"/>
          <w:szCs w:val="20"/>
        </w:rPr>
        <w:t>online</w:t>
      </w:r>
      <w:r w:rsidRPr="00EF534D">
        <w:rPr>
          <w:sz w:val="20"/>
          <w:szCs w:val="20"/>
        </w:rPr>
        <w:t xml:space="preserve">? Além da autoaprendizagem, as interfaces dos AVA permitem a interatividade e a aprendizagem colaborativa, ou seja, além de aprender com o material, o participante aprende na dialógica com outros sujeitos envolvidos - professores, tutores e principalmente outros </w:t>
      </w:r>
      <w:proofErr w:type="spellStart"/>
      <w:r w:rsidRPr="00EF534D">
        <w:rPr>
          <w:sz w:val="20"/>
          <w:szCs w:val="20"/>
        </w:rPr>
        <w:t>cursistas</w:t>
      </w:r>
      <w:proofErr w:type="spellEnd"/>
      <w:r w:rsidRPr="00EF534D">
        <w:rPr>
          <w:sz w:val="20"/>
          <w:szCs w:val="20"/>
        </w:rPr>
        <w:t xml:space="preserve"> -, através de processos de comunicação síncronos e assíncronos (fórum de discussão, lista, </w:t>
      </w:r>
      <w:r w:rsidRPr="00EF534D">
        <w:rPr>
          <w:i/>
          <w:sz w:val="20"/>
          <w:szCs w:val="20"/>
        </w:rPr>
        <w:t>chat</w:t>
      </w:r>
      <w:r w:rsidRPr="00EF534D">
        <w:rPr>
          <w:sz w:val="20"/>
          <w:szCs w:val="20"/>
        </w:rPr>
        <w:t xml:space="preserve">s, blogs, </w:t>
      </w:r>
      <w:proofErr w:type="spellStart"/>
      <w:r w:rsidRPr="00EF534D">
        <w:rPr>
          <w:sz w:val="20"/>
          <w:szCs w:val="20"/>
        </w:rPr>
        <w:t>webfólios</w:t>
      </w:r>
      <w:proofErr w:type="spellEnd"/>
      <w:r w:rsidRPr="00EF534D">
        <w:rPr>
          <w:sz w:val="20"/>
          <w:szCs w:val="20"/>
        </w:rPr>
        <w:t xml:space="preserve"> entre outros). </w:t>
      </w:r>
    </w:p>
    <w:p w:rsidR="00E46C1D" w:rsidRPr="00EF534D" w:rsidRDefault="00E46C1D" w:rsidP="00E46C1D">
      <w:pPr>
        <w:ind w:left="2268"/>
        <w:jc w:val="both"/>
        <w:rPr>
          <w:sz w:val="20"/>
          <w:szCs w:val="20"/>
        </w:rPr>
      </w:pPr>
    </w:p>
    <w:p w:rsidR="00E46C1D" w:rsidRPr="00EF534D" w:rsidRDefault="00E46C1D" w:rsidP="00E46C1D">
      <w:pPr>
        <w:spacing w:line="360" w:lineRule="auto"/>
        <w:ind w:firstLine="709"/>
        <w:jc w:val="both"/>
      </w:pPr>
    </w:p>
    <w:p w:rsidR="00E46C1D" w:rsidRPr="00EF534D" w:rsidRDefault="00E46C1D" w:rsidP="00E46C1D">
      <w:pPr>
        <w:spacing w:line="360" w:lineRule="auto"/>
        <w:ind w:firstLine="709"/>
        <w:jc w:val="both"/>
      </w:pPr>
      <w:r w:rsidRPr="00EF534D">
        <w:t xml:space="preserve">O uso das interfaces de comunicação transforma o conceito de distância, uma vez que mesmo geograficamente dispersos, todos podem comunicar-se e aprender, compartilhar, </w:t>
      </w:r>
      <w:proofErr w:type="spellStart"/>
      <w:proofErr w:type="gramStart"/>
      <w:r w:rsidRPr="00EF534D">
        <w:t>co-criar</w:t>
      </w:r>
      <w:proofErr w:type="spellEnd"/>
      <w:proofErr w:type="gramEnd"/>
      <w:r w:rsidRPr="00EF534D">
        <w:t xml:space="preserve"> com todos, apostando em uma relação dialógica, fato que não se aplica à EAD. Como ressalta Valente (2009, p. 106), “o encontro no ciberespaço permite que cada indivíduo tenha voz, se manifeste e interaja com a informação ou com pessoas, criando condições de aprendizagem que ainda não foram totalmente compreendidas e exploradas educacionalmente”. Nessa mesma linha de raciocínio, </w:t>
      </w:r>
      <w:proofErr w:type="spellStart"/>
      <w:r w:rsidRPr="00EF534D">
        <w:t>Masetto</w:t>
      </w:r>
      <w:proofErr w:type="spellEnd"/>
      <w:r w:rsidRPr="00EF534D">
        <w:t xml:space="preserve"> (2003) ressalta que o </w:t>
      </w:r>
      <w:r>
        <w:t>discente</w:t>
      </w:r>
      <w:r w:rsidRPr="00EF534D">
        <w:t xml:space="preserve"> assume o papel de aprendiz ativo e participante, como também o de sujeito de ações que o levam a aprender e a mudar s</w:t>
      </w:r>
      <w:r>
        <w:t>eu</w:t>
      </w:r>
      <w:r w:rsidRPr="00EF534D">
        <w:t xml:space="preserve"> comportamento. Tais ações ele</w:t>
      </w:r>
      <w:r>
        <w:t xml:space="preserve"> pode </w:t>
      </w:r>
      <w:r w:rsidRPr="00EF534D">
        <w:t>realiza</w:t>
      </w:r>
      <w:r>
        <w:t>r</w:t>
      </w:r>
      <w:r w:rsidRPr="00EF534D">
        <w:t xml:space="preserve"> </w:t>
      </w:r>
      <w:r>
        <w:t xml:space="preserve">tanto </w:t>
      </w:r>
      <w:r w:rsidRPr="00EF534D">
        <w:t>sozinho</w:t>
      </w:r>
      <w:r>
        <w:t xml:space="preserve"> – a </w:t>
      </w:r>
      <w:r w:rsidRPr="00EF534D">
        <w:t>autoaprendizagem</w:t>
      </w:r>
      <w:r>
        <w:t xml:space="preserve"> – como pode realizar </w:t>
      </w:r>
      <w:r w:rsidRPr="00EF534D">
        <w:t xml:space="preserve">com o professor e </w:t>
      </w:r>
      <w:r>
        <w:t xml:space="preserve">com </w:t>
      </w:r>
      <w:r w:rsidRPr="00EF534D">
        <w:t>seus colegas</w:t>
      </w:r>
      <w:r>
        <w:t xml:space="preserve"> – a </w:t>
      </w:r>
      <w:r w:rsidRPr="00EF534D">
        <w:t xml:space="preserve">interaprendizagem. </w:t>
      </w:r>
    </w:p>
    <w:p w:rsidR="00E46C1D" w:rsidRDefault="00E46C1D" w:rsidP="00E46C1D">
      <w:pPr>
        <w:spacing w:line="360" w:lineRule="auto"/>
        <w:ind w:firstLine="709"/>
        <w:jc w:val="both"/>
      </w:pPr>
      <w:r w:rsidRPr="00EF534D">
        <w:lastRenderedPageBreak/>
        <w:t xml:space="preserve">O pressuposto da educação </w:t>
      </w:r>
      <w:r w:rsidRPr="00EF534D">
        <w:rPr>
          <w:i/>
        </w:rPr>
        <w:t>online</w:t>
      </w:r>
      <w:r w:rsidRPr="00EF534D">
        <w:t xml:space="preserve"> é explorar as potencialidades que esse espaço oferece para que a comunicação e, por conseguinte, a aprendizagem, seja interativa e significativa. No entanto, é importante ressaltar que esta modalidade de </w:t>
      </w:r>
      <w:proofErr w:type="gramStart"/>
      <w:r w:rsidRPr="00EF534D">
        <w:t>educação</w:t>
      </w:r>
      <w:proofErr w:type="gramEnd"/>
      <w:r w:rsidRPr="00EF534D">
        <w:t xml:space="preserve">  </w:t>
      </w:r>
    </w:p>
    <w:p w:rsidR="00E46C1D" w:rsidRPr="00EF534D" w:rsidRDefault="00E46C1D" w:rsidP="00E46C1D">
      <w:pPr>
        <w:spacing w:line="360" w:lineRule="auto"/>
        <w:ind w:firstLine="709"/>
        <w:jc w:val="both"/>
      </w:pPr>
    </w:p>
    <w:p w:rsidR="00E46C1D" w:rsidRPr="00EF534D" w:rsidRDefault="00E46C1D" w:rsidP="00E46C1D">
      <w:pPr>
        <w:ind w:left="226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[...] </w:t>
      </w:r>
      <w:r w:rsidRPr="00EF534D">
        <w:rPr>
          <w:sz w:val="20"/>
          <w:szCs w:val="20"/>
        </w:rPr>
        <w:t xml:space="preserve">pode ser vivenciada ou exercitada tanto para potencializar situações de aprendizagem mediadas por encontros presenciais, quanto </w:t>
      </w:r>
      <w:proofErr w:type="gramStart"/>
      <w:r w:rsidRPr="00EF534D">
        <w:rPr>
          <w:sz w:val="20"/>
          <w:szCs w:val="20"/>
        </w:rPr>
        <w:t>a</w:t>
      </w:r>
      <w:proofErr w:type="gramEnd"/>
      <w:r w:rsidRPr="00EF534D">
        <w:rPr>
          <w:sz w:val="20"/>
          <w:szCs w:val="20"/>
        </w:rPr>
        <w:t xml:space="preserve"> distância, caso os sujeitos do processo não possam ou não queiram se encontrar face a face; ou ainda híbridos onde os encontros presenciais podem ser combinados com encontros mediados por tecnologias telemáticas (SANTOS, 2006, p. 125). </w:t>
      </w:r>
    </w:p>
    <w:p w:rsidR="00E46C1D" w:rsidRPr="00EF534D" w:rsidRDefault="00E46C1D" w:rsidP="00E46C1D">
      <w:pPr>
        <w:spacing w:line="360" w:lineRule="auto"/>
        <w:ind w:firstLine="709"/>
        <w:jc w:val="both"/>
      </w:pPr>
    </w:p>
    <w:p w:rsidR="00E46C1D" w:rsidRPr="00EF534D" w:rsidRDefault="00E46C1D" w:rsidP="00E46C1D">
      <w:pPr>
        <w:spacing w:line="360" w:lineRule="auto"/>
        <w:ind w:firstLine="709"/>
        <w:jc w:val="both"/>
      </w:pPr>
      <w:r w:rsidRPr="00EF534D">
        <w:t>Desta forma, em tempos de cibercultura, as mo</w:t>
      </w:r>
      <w:r>
        <w:t xml:space="preserve">dalidades híbridas tomam corpo e, </w:t>
      </w:r>
      <w:r w:rsidRPr="00EF534D">
        <w:t xml:space="preserve">por meio delas, a convergência das mídias para o desenvolvimento de uma educação </w:t>
      </w:r>
      <w:r w:rsidRPr="00EF534D">
        <w:rPr>
          <w:i/>
        </w:rPr>
        <w:t>online</w:t>
      </w:r>
      <w:r w:rsidRPr="00EF534D">
        <w:t xml:space="preserve"> se faz presente seja esta para potencializar a sala de aula presencial ou criar uma sala de aula </w:t>
      </w:r>
      <w:r w:rsidRPr="00EF534D">
        <w:rPr>
          <w:i/>
        </w:rPr>
        <w:t>online</w:t>
      </w:r>
      <w:r w:rsidRPr="00EF534D">
        <w:t xml:space="preserve"> na qual os sujeitos irão </w:t>
      </w:r>
      <w:proofErr w:type="gramStart"/>
      <w:r w:rsidRPr="00EF534D">
        <w:t>interagir,</w:t>
      </w:r>
      <w:proofErr w:type="gramEnd"/>
      <w:r w:rsidRPr="00EF534D">
        <w:t xml:space="preserve"> trocar. Mesmo que geograficamente </w:t>
      </w:r>
      <w:proofErr w:type="gramStart"/>
      <w:r w:rsidRPr="00EF534D">
        <w:t>distantes professor</w:t>
      </w:r>
      <w:proofErr w:type="gramEnd"/>
      <w:r w:rsidRPr="00EF534D">
        <w:t xml:space="preserve"> e </w:t>
      </w:r>
      <w:r>
        <w:t xml:space="preserve">discente </w:t>
      </w:r>
      <w:r w:rsidRPr="00EF534D">
        <w:t>nutrirão o sentimento do que Valente (2009</w:t>
      </w:r>
      <w:r>
        <w:t>, p. 106</w:t>
      </w:r>
      <w:r w:rsidRPr="00EF534D">
        <w:t xml:space="preserve">) tem denominado “estar junto virtual”. </w:t>
      </w:r>
    </w:p>
    <w:p w:rsidR="00E46C1D" w:rsidRDefault="00E46C1D" w:rsidP="00E46C1D">
      <w:pPr>
        <w:spacing w:line="360" w:lineRule="auto"/>
        <w:ind w:firstLine="709"/>
        <w:jc w:val="both"/>
      </w:pPr>
      <w:r w:rsidRPr="00EF534D">
        <w:t xml:space="preserve">Os conteúdos de aprendizagem da sala de aula </w:t>
      </w:r>
      <w:r w:rsidRPr="00EF534D">
        <w:rPr>
          <w:i/>
        </w:rPr>
        <w:t>online</w:t>
      </w:r>
      <w:r w:rsidRPr="00EF534D">
        <w:t xml:space="preserve"> em sintonia com a cibercultura não subutilizam a </w:t>
      </w:r>
      <w:r w:rsidRPr="00EF534D">
        <w:rPr>
          <w:i/>
        </w:rPr>
        <w:t>web</w:t>
      </w:r>
      <w:r w:rsidRPr="00EF534D">
        <w:t xml:space="preserve"> e muito menos o hipertexto. Muito pelo contrário, corroboram com a educação autêntica, baseada no </w:t>
      </w:r>
      <w:proofErr w:type="spellStart"/>
      <w:r w:rsidRPr="00EF534D">
        <w:t>dialogismo</w:t>
      </w:r>
      <w:proofErr w:type="spellEnd"/>
      <w:r w:rsidRPr="00EF534D">
        <w:t xml:space="preserve">, na colaboração, na participação e no compartilhamento. Mas o que é hipertexto? Tecnicamente, para </w:t>
      </w:r>
      <w:proofErr w:type="spellStart"/>
      <w:r w:rsidRPr="00EF534D">
        <w:t>Lévy</w:t>
      </w:r>
      <w:proofErr w:type="spellEnd"/>
      <w:r w:rsidRPr="00EF534D">
        <w:t xml:space="preserve"> (1993, p. 33), é uma rede composta de nós ligados por conexões. Estes nós podem ser “palavras, páginas, imagens ou partes de imagens, </w:t>
      </w:r>
      <w:proofErr w:type="spellStart"/>
      <w:r w:rsidRPr="00EF534D">
        <w:t>seqüências</w:t>
      </w:r>
      <w:proofErr w:type="spellEnd"/>
      <w:r w:rsidRPr="00EF534D">
        <w:t xml:space="preserve"> sonoras, referência a documentos complexos que podem ser eles mesmos hipertextos”. Eles não estão ligados de forma linear, “como em uma corda com nós, mas cada um deles, ou a maioria, estende suas conexões em estrela, de modo reticular”. O hipertexto, com seus links, põe em ação uma rede de possibilidades, por meio das conexões oferecidas, formando, assim, uma nova forma de ler mais dinâmica</w:t>
      </w:r>
      <w:r>
        <w:t xml:space="preserve">, </w:t>
      </w:r>
      <w:proofErr w:type="spellStart"/>
      <w:r>
        <w:t>hipermidática</w:t>
      </w:r>
      <w:proofErr w:type="spellEnd"/>
      <w:r w:rsidRPr="00EF534D">
        <w:t xml:space="preserve">. </w:t>
      </w:r>
      <w:proofErr w:type="spellStart"/>
      <w:r w:rsidRPr="00EF534D">
        <w:t>Santaella</w:t>
      </w:r>
      <w:proofErr w:type="spellEnd"/>
      <w:r w:rsidRPr="00EF534D">
        <w:t xml:space="preserve"> (2004, p 175) complementa esse pensamento definindo essa leitura como </w:t>
      </w:r>
      <w:proofErr w:type="gramStart"/>
      <w:r w:rsidRPr="00EF534D">
        <w:t>topográfica</w:t>
      </w:r>
      <w:proofErr w:type="gramEnd"/>
    </w:p>
    <w:p w:rsidR="00E46C1D" w:rsidRPr="00EF534D" w:rsidRDefault="00E46C1D" w:rsidP="00E46C1D">
      <w:pPr>
        <w:spacing w:line="360" w:lineRule="auto"/>
        <w:ind w:firstLine="709"/>
        <w:jc w:val="both"/>
      </w:pPr>
    </w:p>
    <w:p w:rsidR="00E46C1D" w:rsidRPr="00EF534D" w:rsidRDefault="00E46C1D" w:rsidP="00E46C1D">
      <w:pPr>
        <w:ind w:left="2268"/>
        <w:jc w:val="both"/>
        <w:rPr>
          <w:sz w:val="20"/>
          <w:szCs w:val="20"/>
        </w:rPr>
      </w:pPr>
      <w:r w:rsidRPr="00EF534D">
        <w:rPr>
          <w:sz w:val="20"/>
          <w:szCs w:val="20"/>
        </w:rPr>
        <w:t xml:space="preserve">A leitura orientada </w:t>
      </w:r>
      <w:proofErr w:type="spellStart"/>
      <w:r w:rsidRPr="00EF534D">
        <w:rPr>
          <w:sz w:val="20"/>
          <w:szCs w:val="20"/>
        </w:rPr>
        <w:t>hipermidiaticamente</w:t>
      </w:r>
      <w:proofErr w:type="spellEnd"/>
      <w:r w:rsidRPr="00EF534D">
        <w:rPr>
          <w:sz w:val="20"/>
          <w:szCs w:val="20"/>
        </w:rPr>
        <w:t xml:space="preserve"> é uma atividade nômade de perambulação de um lado para o outro, juntando fragmentos que vão se unindo mediante uma lógica associativa e de mapas cognitivos personalizados e intransferíveis. É, pois, uma leitura topográfica que se torna literalmente escritura, pois, na hipermídia, a leitura é tudo e a mensagem só vai se escrevendo na medida em que os nexos são acionados pelo leitor-produtor.</w:t>
      </w:r>
    </w:p>
    <w:p w:rsidR="00E46C1D" w:rsidRPr="00EF534D" w:rsidRDefault="00E46C1D" w:rsidP="00E46C1D">
      <w:pPr>
        <w:spacing w:line="360" w:lineRule="auto"/>
        <w:ind w:firstLine="709"/>
        <w:jc w:val="both"/>
      </w:pPr>
    </w:p>
    <w:p w:rsidR="00E46C1D" w:rsidRPr="00EF534D" w:rsidRDefault="00E46C1D" w:rsidP="00E46C1D">
      <w:pPr>
        <w:spacing w:line="360" w:lineRule="auto"/>
        <w:ind w:firstLine="709"/>
        <w:jc w:val="both"/>
      </w:pPr>
      <w:r w:rsidRPr="00EF534D">
        <w:t>Não é sem razão que Silva (20</w:t>
      </w:r>
      <w:r>
        <w:t>10</w:t>
      </w:r>
      <w:r w:rsidRPr="00EF534D">
        <w:t xml:space="preserve">) considera o hipertexto como um divisor de águas entre a comunicação massiva e a comunicação interativa, que é </w:t>
      </w:r>
      <w:r>
        <w:t xml:space="preserve">a dinâmica </w:t>
      </w:r>
      <w:r w:rsidRPr="00EF534D">
        <w:lastRenderedPageBreak/>
        <w:t>própria da cibercultura. Concordamos com o autor, pois este processo hipertextual coloca o sujeito em contato direto com a experiência da complexidade no âmbito comunicacional. Conforme levantamento feito por Silva (</w:t>
      </w:r>
      <w:r>
        <w:t>idem</w:t>
      </w:r>
      <w:r w:rsidRPr="00EF534D">
        <w:t xml:space="preserve">), a primeira ideia de hipertexto foi manifestada por </w:t>
      </w:r>
      <w:proofErr w:type="spellStart"/>
      <w:r w:rsidRPr="00EF534D">
        <w:t>Vannevar</w:t>
      </w:r>
      <w:proofErr w:type="spellEnd"/>
      <w:r w:rsidRPr="00EF534D">
        <w:t xml:space="preserve"> Bush em 1945, entretanto o termo só foi cunhado por Theodore Nelson, na década de 1960, para expressar o funcionamento da memória de um computador. O pensamento de Nelson, que na época foi ignorado ou contestado, está ligado à mudança revolucionária do modo linear de leitura e escrita, associado ao livro, para o modo de funcionamento hipertextual da mente humana. </w:t>
      </w:r>
    </w:p>
    <w:p w:rsidR="00E46C1D" w:rsidRPr="00EF534D" w:rsidRDefault="00E46C1D" w:rsidP="00E46C1D">
      <w:pPr>
        <w:spacing w:line="360" w:lineRule="auto"/>
        <w:ind w:firstLine="709"/>
        <w:jc w:val="both"/>
      </w:pPr>
      <w:r w:rsidRPr="00EF534D">
        <w:t xml:space="preserve">O hipertexto modifica nossa noção de texto, pois este se constitui plural, sem centralidade, sendo construído por um ou mais autores e está sempre se transformando, reiniciando, de forma associativa, multilinear. A navegação </w:t>
      </w:r>
      <w:r>
        <w:t xml:space="preserve">por meio dos links </w:t>
      </w:r>
      <w:r w:rsidRPr="00EF534D">
        <w:t>possibilita que o leitor embrenhe-se pelo</w:t>
      </w:r>
      <w:r>
        <w:t>s</w:t>
      </w:r>
      <w:r w:rsidRPr="00EF534D">
        <w:t xml:space="preserve"> nós, construa suas próprias trilhas de leitura. “O fim no hipertexto é sempre um novo começo caleidoscópico, no qual podemos, simultaneamente, ler vários textos (janelas mixadas), cortar, colar e criar intertextos” (</w:t>
      </w:r>
      <w:r>
        <w:t>SANTOS E SILVA</w:t>
      </w:r>
      <w:r w:rsidRPr="00EF534D">
        <w:t>, 2009, p. 127). Dessa forma, a partir de uma narrativa hipertextual cada leitor pode escolher a sua própria aventura, interagindo com a história e, com isto, sua leitura poderá ser completamente diferente da leitura de outro leitor.</w:t>
      </w:r>
    </w:p>
    <w:p w:rsidR="00E46C1D" w:rsidRPr="00EF534D" w:rsidRDefault="00E46C1D" w:rsidP="00E46C1D">
      <w:pPr>
        <w:spacing w:line="360" w:lineRule="auto"/>
        <w:ind w:firstLine="709"/>
        <w:jc w:val="both"/>
      </w:pPr>
      <w:r w:rsidRPr="00EF534D">
        <w:t xml:space="preserve"> </w:t>
      </w:r>
      <w:proofErr w:type="spellStart"/>
      <w:r w:rsidRPr="00EF534D">
        <w:t>Morgado</w:t>
      </w:r>
      <w:proofErr w:type="spellEnd"/>
      <w:r w:rsidRPr="00EF534D">
        <w:t xml:space="preserve"> (2010) fez interessante estudo sobre o hipertexto servir ou não como </w:t>
      </w:r>
      <w:r>
        <w:t xml:space="preserve">estratégia de aprendizagem em um </w:t>
      </w:r>
      <w:r w:rsidRPr="00EF534D">
        <w:t>ambiente de aprendizagem</w:t>
      </w:r>
      <w:r>
        <w:t>. A</w:t>
      </w:r>
      <w:r w:rsidRPr="00EF534D">
        <w:t xml:space="preserve"> id</w:t>
      </w:r>
      <w:r>
        <w:t>e</w:t>
      </w:r>
      <w:r w:rsidRPr="00EF534D">
        <w:t xml:space="preserve">ia principal que parece sobressair de qualquer dos pontos de vista pesquisado por ela é o hipertexto possibilitar a construção de ambientes no qual o leitor experimenta certo grau de autonomia enquanto navega na informação, e isto contribui para que se expressem estratégias individuais de aprendizagem, sendo ele responsável pelo seu processo de aprendizagem. Quando se trabalha com hipertextos, o ambiente modifica-se em um espaço de trocas interpessoais apropriado à aprendizagem colaborativa, mas também adequado ao atendimento de diferenças individuais, quanto ao grau de dificuldades, ritmo de trabalho e interesse. Em outras palavras, “a disponibilidade do diálogo com vários autores/leitores permite acesso e negociação de sentidos, </w:t>
      </w:r>
      <w:proofErr w:type="spellStart"/>
      <w:r w:rsidRPr="00EF534D">
        <w:t>ressignificando</w:t>
      </w:r>
      <w:proofErr w:type="spellEnd"/>
      <w:r w:rsidRPr="00EF534D">
        <w:t xml:space="preserve"> a noção de autoria” (</w:t>
      </w:r>
      <w:r>
        <w:t>SANTOS E SILVA</w:t>
      </w:r>
      <w:r w:rsidRPr="00EF534D">
        <w:t xml:space="preserve">, 2009, p. 127). A leitura de mundo de nosso querido Paulo Freire é ampliada pela hipertextualidade, ressalta Xavier (2004, 172), pois se para o grande educador ler/entender a palavra é necessário saber ler antes o mundo, “o hipertexto vem consolidar esse processo, uma vez que viabiliza multidimensionalmente a compreensão do leitor pela exploração superlativa de informações, muitas delas inacessíveis sem os recursos da hipermídia”. </w:t>
      </w:r>
    </w:p>
    <w:p w:rsidR="00E46C1D" w:rsidRPr="00EF534D" w:rsidRDefault="00E46C1D" w:rsidP="00E46C1D">
      <w:pPr>
        <w:spacing w:line="360" w:lineRule="auto"/>
        <w:ind w:firstLine="709"/>
        <w:jc w:val="both"/>
      </w:pPr>
      <w:r w:rsidRPr="00EF534D">
        <w:lastRenderedPageBreak/>
        <w:t xml:space="preserve">No entanto, não poderíamos deixar de tocar na cilada </w:t>
      </w:r>
      <w:r>
        <w:t xml:space="preserve">em </w:t>
      </w:r>
      <w:r w:rsidRPr="00EF534D">
        <w:t xml:space="preserve">que o hipertexto pode se transformar, segundo alguns autores. Sodré (2006) ressalta que a postura cognitiva diante da lógica </w:t>
      </w:r>
      <w:proofErr w:type="spellStart"/>
      <w:proofErr w:type="gramStart"/>
      <w:r w:rsidRPr="00EF534D">
        <w:t>não-sequencial</w:t>
      </w:r>
      <w:proofErr w:type="spellEnd"/>
      <w:proofErr w:type="gramEnd"/>
      <w:r w:rsidRPr="00EF534D">
        <w:t xml:space="preserve"> do hipertexto é </w:t>
      </w:r>
      <w:r>
        <w:t>a</w:t>
      </w:r>
      <w:r w:rsidRPr="00EF534D">
        <w:t xml:space="preserve"> da “exploração” interpretativa em vez da dedução de verdades. Para ele, não há hierarquia discursiva para organizar os regimes heterogêneos de expressões da mídia, levando à desordem das informações. Xavier (2004) alerta para o possível “afogamento” do leitor no oceano de informações</w:t>
      </w:r>
      <w:r>
        <w:t>. E</w:t>
      </w:r>
      <w:r w:rsidRPr="00EF534D">
        <w:t xml:space="preserve">le encontra em </w:t>
      </w:r>
      <w:proofErr w:type="spellStart"/>
      <w:r w:rsidRPr="00EF534D">
        <w:t>Chartier</w:t>
      </w:r>
      <w:proofErr w:type="spellEnd"/>
      <w:r w:rsidRPr="00EF534D">
        <w:t xml:space="preserve"> a </w:t>
      </w:r>
      <w:r>
        <w:t>base</w:t>
      </w:r>
      <w:r w:rsidRPr="00EF534D">
        <w:t xml:space="preserve"> para tal pensamento, </w:t>
      </w:r>
      <w:r>
        <w:t xml:space="preserve">quando </w:t>
      </w:r>
      <w:r w:rsidRPr="00EF534D">
        <w:t xml:space="preserve">o historiador francês </w:t>
      </w:r>
      <w:r>
        <w:t xml:space="preserve">revela que </w:t>
      </w:r>
      <w:r w:rsidRPr="00EF534D">
        <w:t xml:space="preserve">esse temor é antigo. </w:t>
      </w:r>
      <w:r>
        <w:t>F</w:t>
      </w:r>
      <w:r w:rsidRPr="00EF534D">
        <w:t xml:space="preserve">oi alardeado quando da invenção da imprensa por Gutenberg, mesmo sem que as tipografias chegassem ao seu apogeu no séc. XIX, e com a multiplicação das tiragens de bolso no início do séc. XX. A incerteza de como o leitor usará a hipertextualidade não pode acarretar em proibição, em não usar o hipertexto para potencializar a ampliação do conhecimento. </w:t>
      </w:r>
    </w:p>
    <w:p w:rsidR="00E46C1D" w:rsidRDefault="00E46C1D" w:rsidP="00E46C1D">
      <w:pPr>
        <w:pStyle w:val="NormalWeb"/>
        <w:spacing w:before="0" w:after="0" w:line="360" w:lineRule="auto"/>
        <w:ind w:firstLine="709"/>
        <w:jc w:val="both"/>
      </w:pPr>
      <w:proofErr w:type="spellStart"/>
      <w:r>
        <w:t>Marcuschi</w:t>
      </w:r>
      <w:proofErr w:type="spellEnd"/>
      <w:r>
        <w:t xml:space="preserve"> (2000) nos </w:t>
      </w:r>
      <w:proofErr w:type="gramStart"/>
      <w:r>
        <w:t>lembra</w:t>
      </w:r>
      <w:proofErr w:type="gramEnd"/>
      <w:r>
        <w:t xml:space="preserve"> que o hipertexto perturba nosso conhecimento linear do texto, pois rompe com a estrutura convencional e as expectativas a ela associadas. A ordenação das informações não está posta na própria estrutura da escrita. Diversamente do texto de um livro convencional, o hipertexto não possui apenas uma única ordem de se fazer a leitura. Esta pode dar-se em diferentes ordens. Tem múltiplas entradas e múltiplas formas de seguir adiante. Há maior liberdade de navegar pelas informações como se estivéssemos imersos num </w:t>
      </w:r>
      <w:r w:rsidRPr="00C53B4C">
        <w:rPr>
          <w:i/>
        </w:rPr>
        <w:t>continuum</w:t>
      </w:r>
      <w:r>
        <w:t xml:space="preserve"> de discursos distribuídos por imensas redes digitais. Para aquele leitor de percurso linear, advindo da pedagogia da transmissão, que é sempre comandado por uma ordem, de certa forma, fica perdido com tamanha liberdade para se autorizar a traçar seu percurso de forma hipertextual. </w:t>
      </w:r>
    </w:p>
    <w:p w:rsidR="00E46C1D" w:rsidRDefault="00E46C1D" w:rsidP="00E46C1D">
      <w:pPr>
        <w:spacing w:line="360" w:lineRule="auto"/>
        <w:ind w:firstLine="709"/>
        <w:jc w:val="both"/>
      </w:pPr>
      <w:r w:rsidRPr="00EF534D">
        <w:t xml:space="preserve">Silva e Santos (2009, 128) propõem que a educação lance mão da metáfora do hipertexto assim concebido para expressar o perfil da sala de aula engendrada pela coautoria tanto dos docentes quanto dos aprendizes na construção da aprendizagem e da própria comunicação.  Esta sala de aula “não mais centrada na </w:t>
      </w:r>
      <w:proofErr w:type="spellStart"/>
      <w:r w:rsidRPr="00EF534D">
        <w:t>unidirecionalidade</w:t>
      </w:r>
      <w:proofErr w:type="spellEnd"/>
      <w:r w:rsidRPr="00EF534D">
        <w:t xml:space="preserve"> do professor é possuidora permanente de diversos centros conectados, nos quais ocorre a constante construção da comunicação e do conhecimento, a renegociação dos atores em jogo”. Com isto perdem a força os sistemas de aprendizagem arborescente que</w:t>
      </w:r>
    </w:p>
    <w:p w:rsidR="00E46C1D" w:rsidRPr="00EF534D" w:rsidRDefault="00E46C1D" w:rsidP="00E46C1D">
      <w:pPr>
        <w:spacing w:line="360" w:lineRule="auto"/>
        <w:ind w:firstLine="709"/>
        <w:jc w:val="both"/>
      </w:pPr>
    </w:p>
    <w:p w:rsidR="00E46C1D" w:rsidRPr="00EF534D" w:rsidRDefault="00E46C1D" w:rsidP="00E46C1D">
      <w:pPr>
        <w:ind w:left="226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[...] </w:t>
      </w:r>
      <w:r w:rsidRPr="00EF534D">
        <w:rPr>
          <w:sz w:val="20"/>
          <w:szCs w:val="20"/>
        </w:rPr>
        <w:t xml:space="preserve">são sistemas hierárquicos que comportam centros de significância e de subjetivação, autômatos centrais com memórias organizadas. […] Acontece que um elemento só recebe suas informações de uma unidade superior e uma atribuição subjetiva de ligações pré-estabelecidas. […] Contra os sistemas centrados (e mesmo policentrados), de comunicação hierárquica e ligações pré-estabelecidas, o rizoma é um sistema </w:t>
      </w:r>
      <w:proofErr w:type="spellStart"/>
      <w:r w:rsidRPr="00EF534D">
        <w:rPr>
          <w:sz w:val="20"/>
          <w:szCs w:val="20"/>
        </w:rPr>
        <w:t>acentrado</w:t>
      </w:r>
      <w:proofErr w:type="spellEnd"/>
      <w:r w:rsidRPr="00EF534D">
        <w:rPr>
          <w:sz w:val="20"/>
          <w:szCs w:val="20"/>
        </w:rPr>
        <w:t xml:space="preserve">, não hierárquico e não </w:t>
      </w:r>
      <w:r w:rsidRPr="00EF534D">
        <w:rPr>
          <w:sz w:val="20"/>
          <w:szCs w:val="20"/>
        </w:rPr>
        <w:lastRenderedPageBreak/>
        <w:t xml:space="preserve">significante, sem General, sem memória organizadora ou autômato central, unicamente definido por uma circulação de estados. (DELEUZE; GUATTARI, 1995, </w:t>
      </w:r>
      <w:r w:rsidRPr="00694177">
        <w:rPr>
          <w:i/>
          <w:sz w:val="20"/>
          <w:szCs w:val="20"/>
        </w:rPr>
        <w:t>apud</w:t>
      </w:r>
      <w:r w:rsidRPr="00EF534D">
        <w:rPr>
          <w:sz w:val="20"/>
          <w:szCs w:val="20"/>
        </w:rPr>
        <w:t xml:space="preserve"> </w:t>
      </w:r>
      <w:r>
        <w:rPr>
          <w:sz w:val="20"/>
          <w:szCs w:val="20"/>
        </w:rPr>
        <w:t>SANTOS E SILVA</w:t>
      </w:r>
      <w:r w:rsidRPr="00EF534D">
        <w:rPr>
          <w:sz w:val="20"/>
          <w:szCs w:val="20"/>
        </w:rPr>
        <w:t xml:space="preserve">, 2009, p. 129).  </w:t>
      </w:r>
    </w:p>
    <w:p w:rsidR="00E46C1D" w:rsidRPr="00EF534D" w:rsidRDefault="00E46C1D" w:rsidP="00E46C1D">
      <w:pPr>
        <w:spacing w:line="360" w:lineRule="auto"/>
        <w:ind w:firstLine="709"/>
        <w:jc w:val="both"/>
      </w:pPr>
    </w:p>
    <w:p w:rsidR="00E46C1D" w:rsidRDefault="00E46C1D" w:rsidP="00E46C1D">
      <w:pPr>
        <w:spacing w:line="360" w:lineRule="auto"/>
        <w:ind w:firstLine="709"/>
        <w:jc w:val="both"/>
      </w:pPr>
      <w:r w:rsidRPr="00EF534D">
        <w:t xml:space="preserve">O esquema da árvore, de acordo com o estudo de Silva e Santos (2009) pressupõe estrutura de organização dos dados que vai do geral ao particular, de maneira que a informação ramifica-se em detalhes como os galhos de uma árvore. Com isto, a aprendizagem é linear, </w:t>
      </w:r>
      <w:proofErr w:type="spellStart"/>
      <w:r w:rsidRPr="00EF534D">
        <w:t>seqüenciada</w:t>
      </w:r>
      <w:proofErr w:type="spellEnd"/>
      <w:r w:rsidRPr="00EF534D">
        <w:t>, enquanto a lógica hipertextual é a da multiplicidade de conexões multidirecionadas.</w:t>
      </w:r>
    </w:p>
    <w:p w:rsidR="00E46C1D" w:rsidRPr="00EF534D" w:rsidRDefault="00E46C1D" w:rsidP="00E46C1D">
      <w:pPr>
        <w:spacing w:line="360" w:lineRule="auto"/>
        <w:ind w:firstLine="709"/>
        <w:jc w:val="both"/>
      </w:pPr>
    </w:p>
    <w:p w:rsidR="00E46C1D" w:rsidRDefault="00E46C1D" w:rsidP="00E46C1D">
      <w:pPr>
        <w:pStyle w:val="Legenda"/>
        <w:jc w:val="center"/>
        <w:outlineLvl w:val="0"/>
      </w:pPr>
      <w:bookmarkStart w:id="0" w:name="_Toc274991051"/>
      <w:bookmarkStart w:id="1" w:name="_Ref283042783"/>
      <w:bookmarkStart w:id="2" w:name="_Toc283042843"/>
      <w:bookmarkStart w:id="3" w:name="_Toc283043785"/>
      <w:bookmarkStart w:id="4" w:name="_Toc285378014"/>
      <w:bookmarkStart w:id="5" w:name="_Toc298966625"/>
      <w:r>
        <w:t xml:space="preserve">Ilustração </w:t>
      </w:r>
      <w:fldSimple w:instr=" SEQ Ilustração \* ARABIC ">
        <w:r>
          <w:rPr>
            <w:noProof/>
          </w:rPr>
          <w:t>1</w:t>
        </w:r>
      </w:fldSimple>
      <w:r>
        <w:t>: Esquema da árvore e do hipertexto (SANTOS E SILVA, 2009, p. 129</w:t>
      </w:r>
      <w:proofErr w:type="gramStart"/>
      <w:r>
        <w:t>)</w:t>
      </w:r>
      <w:bookmarkEnd w:id="0"/>
      <w:bookmarkEnd w:id="1"/>
      <w:bookmarkEnd w:id="2"/>
      <w:bookmarkEnd w:id="3"/>
      <w:bookmarkEnd w:id="4"/>
      <w:bookmarkEnd w:id="5"/>
      <w:proofErr w:type="gramEnd"/>
    </w:p>
    <w:p w:rsidR="00E46C1D" w:rsidRDefault="00E46C1D" w:rsidP="00E46C1D">
      <w:pPr>
        <w:keepNext/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2409190" cy="2353310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33" t="11017" r="52074" b="3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17445" cy="2282190"/>
            <wp:effectExtent l="19050" t="0" r="190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7694" r="2350" b="3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1D" w:rsidRDefault="00E46C1D" w:rsidP="00E46C1D">
      <w:pPr>
        <w:spacing w:line="360" w:lineRule="auto"/>
        <w:jc w:val="both"/>
      </w:pPr>
    </w:p>
    <w:p w:rsidR="00E46C1D" w:rsidRDefault="00E46C1D" w:rsidP="00E46C1D">
      <w:pPr>
        <w:spacing w:line="360" w:lineRule="auto"/>
        <w:ind w:firstLine="709"/>
        <w:jc w:val="both"/>
      </w:pPr>
      <w:r>
        <w:t xml:space="preserve">Para elaborar conteúdos hipertextuais para educação </w:t>
      </w:r>
      <w:r w:rsidRPr="00DA4714">
        <w:rPr>
          <w:i/>
        </w:rPr>
        <w:t>online</w:t>
      </w:r>
      <w:r>
        <w:t xml:space="preserve"> é fundamental observar algumas características fundamentais: usabilidade, </w:t>
      </w:r>
      <w:proofErr w:type="spellStart"/>
      <w:r>
        <w:t>multivocalidade</w:t>
      </w:r>
      <w:proofErr w:type="spellEnd"/>
      <w:r>
        <w:t>, intratextualidade, intertextualidade e multilinearidade (</w:t>
      </w:r>
      <w:proofErr w:type="gramStart"/>
      <w:r>
        <w:t>SANTOS, 2009</w:t>
      </w:r>
      <w:proofErr w:type="gramEnd"/>
      <w:r>
        <w:t xml:space="preserve">). </w:t>
      </w:r>
    </w:p>
    <w:p w:rsidR="00E46C1D" w:rsidRDefault="00E46C1D" w:rsidP="00E46C1D">
      <w:pPr>
        <w:spacing w:line="360" w:lineRule="auto"/>
        <w:ind w:firstLine="709"/>
        <w:jc w:val="both"/>
      </w:pPr>
      <w:r>
        <w:t xml:space="preserve">Veremos a seguir, de acordo com o estudo de Santos (2009), o significado de cada uma dessas características. Usabilidade em </w:t>
      </w:r>
      <w:proofErr w:type="gramStart"/>
      <w:r>
        <w:t>um AVA</w:t>
      </w:r>
      <w:proofErr w:type="gramEnd"/>
      <w:r>
        <w:t xml:space="preserve"> é estabelecer basicamente padrões estéticos e funcionais que ajudam e facilitam a leitura e/ou navegação do estudante neste ambiente. O </w:t>
      </w:r>
      <w:proofErr w:type="spellStart"/>
      <w:r>
        <w:t>Moodle</w:t>
      </w:r>
      <w:proofErr w:type="spellEnd"/>
      <w:r>
        <w:t xml:space="preserve"> já proporciona essa característica com os ícones utilizados, de acordo com a ilustração </w:t>
      </w:r>
      <w:proofErr w:type="gramStart"/>
      <w:r>
        <w:t>2</w:t>
      </w:r>
      <w:proofErr w:type="gramEnd"/>
      <w:r>
        <w:t xml:space="preserve">. O módulo </w:t>
      </w:r>
      <w:proofErr w:type="gramStart"/>
      <w:r>
        <w:t>2</w:t>
      </w:r>
      <w:proofErr w:type="gramEnd"/>
      <w:r>
        <w:t xml:space="preserve"> criou alguns ícones para organizar suas unidades. A cor do link também é fator de organização, uma vez que o discente já sabe que pode clicar naquela palavra ou expressão que será remetido a outro espaço. Entretanto, é preciso tomar cuidado com o excesso de padronização, pois </w:t>
      </w:r>
      <w:proofErr w:type="gramStart"/>
      <w:r>
        <w:t>o AVA</w:t>
      </w:r>
      <w:proofErr w:type="gramEnd"/>
      <w:r>
        <w:t xml:space="preserve"> pode tomar aparência de manual de instrução.</w:t>
      </w:r>
    </w:p>
    <w:p w:rsidR="00E46C1D" w:rsidRDefault="00E46C1D" w:rsidP="00E46C1D">
      <w:pPr>
        <w:spacing w:line="360" w:lineRule="auto"/>
        <w:ind w:firstLine="709"/>
        <w:jc w:val="both"/>
      </w:pPr>
    </w:p>
    <w:p w:rsidR="00E46C1D" w:rsidRDefault="00E46C1D" w:rsidP="00E46C1D">
      <w:pPr>
        <w:spacing w:line="360" w:lineRule="auto"/>
        <w:ind w:firstLine="709"/>
        <w:jc w:val="both"/>
      </w:pPr>
    </w:p>
    <w:p w:rsidR="00E46C1D" w:rsidRDefault="00E46C1D" w:rsidP="00E46C1D">
      <w:pPr>
        <w:pStyle w:val="Legenda"/>
        <w:jc w:val="center"/>
        <w:outlineLvl w:val="0"/>
      </w:pPr>
      <w:bookmarkStart w:id="6" w:name="_Toc283042844"/>
      <w:bookmarkStart w:id="7" w:name="_Toc283043786"/>
      <w:bookmarkStart w:id="8" w:name="_Toc285378015"/>
      <w:bookmarkStart w:id="9" w:name="_Toc298966626"/>
      <w:r>
        <w:lastRenderedPageBreak/>
        <w:t xml:space="preserve">Ilustração </w:t>
      </w:r>
      <w:fldSimple w:instr=" SEQ Ilustração \* ARABIC ">
        <w:r>
          <w:rPr>
            <w:noProof/>
          </w:rPr>
          <w:t>2</w:t>
        </w:r>
      </w:fldSimple>
      <w:r>
        <w:t>: Hipertexto e a usabilidade</w:t>
      </w:r>
      <w:bookmarkEnd w:id="6"/>
      <w:bookmarkEnd w:id="7"/>
      <w:bookmarkEnd w:id="8"/>
      <w:bookmarkEnd w:id="9"/>
    </w:p>
    <w:p w:rsidR="00E46C1D" w:rsidRDefault="00E46C1D" w:rsidP="00E46C1D">
      <w:pPr>
        <w:spacing w:line="360" w:lineRule="auto"/>
        <w:ind w:firstLine="709"/>
        <w:jc w:val="right"/>
      </w:pPr>
      <w:r>
        <w:rPr>
          <w:noProof/>
          <w:lang w:eastAsia="pt-BR"/>
        </w:rPr>
        <w:pict>
          <v:group id="_x0000_s1070" style="position:absolute;left:0;text-align:left;margin-left:-35.25pt;margin-top:65pt;width:132.1pt;height:163.1pt;z-index:251667456" coordorigin="996,3361" coordsize="2642,3262">
            <v:group id="_x0000_s1058" style="position:absolute;left:1186;top:3361;width:2407;height:574" coordorigin="1771,3307" coordsize="2407,574">
              <v:oval id="_x0000_s1059" style="position:absolute;left:3770;top:3419;width:408;height:328" filled="f"/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_x0000_s1060" type="#_x0000_t78" style="position:absolute;left:1771;top:3307;width:1979;height:574" adj="16492">
                <v:textbox style="mso-next-textbox:#_x0000_s1060">
                  <w:txbxContent>
                    <w:p w:rsidR="00E46C1D" w:rsidRDefault="00E46C1D" w:rsidP="00E46C1D">
                      <w:pPr>
                        <w:rPr>
                          <w:sz w:val="16"/>
                          <w:szCs w:val="16"/>
                        </w:rPr>
                      </w:pPr>
                      <w:r w:rsidRPr="00FF21DA">
                        <w:rPr>
                          <w:sz w:val="16"/>
                          <w:szCs w:val="16"/>
                        </w:rPr>
                        <w:t>Indica página</w:t>
                      </w:r>
                    </w:p>
                    <w:p w:rsidR="00E46C1D" w:rsidRPr="00FF21DA" w:rsidRDefault="00E46C1D" w:rsidP="00E46C1D">
                      <w:pPr>
                        <w:rPr>
                          <w:sz w:val="16"/>
                          <w:szCs w:val="16"/>
                        </w:rPr>
                      </w:pPr>
                      <w:r w:rsidRPr="00FF21D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FF21DA">
                        <w:rPr>
                          <w:sz w:val="16"/>
                          <w:szCs w:val="16"/>
                        </w:rPr>
                        <w:t>web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no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Moodle</w:t>
                      </w:r>
                      <w:proofErr w:type="spellEnd"/>
                    </w:p>
                  </w:txbxContent>
                </v:textbox>
              </v:shape>
            </v:group>
            <v:group id="_x0000_s1061" style="position:absolute;left:1550;top:4485;width:2088;height:481" coordorigin="2090,4401" coordsize="2088,481">
              <v:oval id="_x0000_s1062" style="position:absolute;left:3835;top:4440;width:343;height:331" filled="f"/>
              <v:shape id="_x0000_s1063" type="#_x0000_t78" style="position:absolute;left:2090;top:4401;width:1739;height:481" adj="16492">
                <v:textbox style="mso-next-textbox:#_x0000_s1063">
                  <w:txbxContent>
                    <w:p w:rsidR="00E46C1D" w:rsidRDefault="00E46C1D" w:rsidP="00E46C1D">
                      <w:pPr>
                        <w:rPr>
                          <w:sz w:val="16"/>
                          <w:szCs w:val="16"/>
                        </w:rPr>
                      </w:pPr>
                      <w:r w:rsidRPr="00FF21DA">
                        <w:rPr>
                          <w:sz w:val="16"/>
                          <w:szCs w:val="16"/>
                        </w:rPr>
                        <w:t xml:space="preserve">Indica </w:t>
                      </w:r>
                      <w:r>
                        <w:rPr>
                          <w:sz w:val="16"/>
                          <w:szCs w:val="16"/>
                        </w:rPr>
                        <w:t>fórum</w:t>
                      </w:r>
                    </w:p>
                    <w:p w:rsidR="00E46C1D" w:rsidRPr="00FF21DA" w:rsidRDefault="00E46C1D" w:rsidP="00E46C1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no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Moodle</w:t>
                      </w:r>
                      <w:proofErr w:type="spellEnd"/>
                    </w:p>
                  </w:txbxContent>
                </v:textbox>
              </v:shape>
            </v:group>
            <v:group id="_x0000_s1064" style="position:absolute;left:996;top:5138;width:2434;height:538" coordorigin="1566,5054" coordsize="2434,538">
              <v:oval id="_x0000_s1065" style="position:absolute;left:3587;top:5080;width:413;height:417" filled="f"/>
              <v:shape id="_x0000_s1066" type="#_x0000_t78" style="position:absolute;left:1566;top:5054;width:2066;height:538" adj="16492">
                <v:textbox style="mso-next-textbox:#_x0000_s1066">
                  <w:txbxContent>
                    <w:p w:rsidR="00E46C1D" w:rsidRPr="00FF21DA" w:rsidRDefault="00E46C1D" w:rsidP="00E46C1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Usado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para  indicar nova unidade </w:t>
                      </w:r>
                    </w:p>
                  </w:txbxContent>
                </v:textbox>
              </v:shape>
            </v:group>
            <v:group id="_x0000_s1067" style="position:absolute;left:1322;top:6078;width:2271;height:545" coordorigin="1907,5994" coordsize="2271,545">
              <v:oval id="_x0000_s1068" style="position:absolute;left:3774;top:6104;width:404;height:309" filled="f"/>
              <v:shape id="_x0000_s1069" type="#_x0000_t78" style="position:absolute;left:1907;top:5994;width:1867;height:545" adj="16492">
                <v:textbox style="mso-next-textbox:#_x0000_s1069">
                  <w:txbxContent>
                    <w:p w:rsidR="00E46C1D" w:rsidRDefault="00E46C1D" w:rsidP="00E46C1D">
                      <w:pPr>
                        <w:rPr>
                          <w:sz w:val="16"/>
                          <w:szCs w:val="16"/>
                        </w:rPr>
                      </w:pPr>
                      <w:r w:rsidRPr="00FF21DA">
                        <w:rPr>
                          <w:sz w:val="16"/>
                          <w:szCs w:val="16"/>
                        </w:rPr>
                        <w:t xml:space="preserve">Indica </w:t>
                      </w:r>
                      <w:r>
                        <w:rPr>
                          <w:sz w:val="16"/>
                          <w:szCs w:val="16"/>
                        </w:rPr>
                        <w:t xml:space="preserve">chat </w:t>
                      </w:r>
                    </w:p>
                    <w:p w:rsidR="00E46C1D" w:rsidRPr="00FF21DA" w:rsidRDefault="00E46C1D" w:rsidP="00E46C1D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no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Moodle</w:t>
                      </w:r>
                      <w:proofErr w:type="spellEnd"/>
                    </w:p>
                  </w:txbxContent>
                </v:textbox>
              </v:shape>
            </v:group>
          </v:group>
        </w:pict>
      </w:r>
      <w:r>
        <w:rPr>
          <w:noProof/>
          <w:lang w:eastAsia="pt-BR"/>
        </w:rPr>
        <w:drawing>
          <wp:inline distT="0" distB="0" distL="0" distR="0">
            <wp:extent cx="4782393" cy="349576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8287" b="2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393" cy="349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1D" w:rsidRDefault="00E46C1D" w:rsidP="00E46C1D">
      <w:pPr>
        <w:spacing w:line="360" w:lineRule="auto"/>
        <w:ind w:firstLine="709"/>
        <w:jc w:val="both"/>
      </w:pPr>
      <w:r>
        <w:t xml:space="preserve">A </w:t>
      </w:r>
      <w:proofErr w:type="spellStart"/>
      <w:r>
        <w:t>multivocalidade</w:t>
      </w:r>
      <w:proofErr w:type="spellEnd"/>
      <w:r>
        <w:t xml:space="preserve"> nos remete à pluralidade de pontos de vista acerca dos assuntos abordados. Quanto mais complexidade e múltiplas referências existir, mais potencializaremos a construção do ponto de vista do discente. Ao discutir o que são objetos de aprendizagem, os docentes do módulo </w:t>
      </w:r>
      <w:proofErr w:type="gramStart"/>
      <w:r>
        <w:t>7</w:t>
      </w:r>
      <w:proofErr w:type="gramEnd"/>
      <w:r>
        <w:t xml:space="preserve"> (ilustração 3) disponibilizaram vários sites nos quais são encontradas diferentes formas de conceber um objeto de aprendizagem (OA). A diversidade de opiniões traz riqueza à discussão, pois há críticas como também defesas, oportunizando reflexões críticas sobre esses objetos.  </w:t>
      </w:r>
    </w:p>
    <w:p w:rsidR="00E46C1D" w:rsidRDefault="00E46C1D" w:rsidP="00E46C1D">
      <w:pPr>
        <w:pStyle w:val="Legenda"/>
        <w:jc w:val="center"/>
        <w:outlineLvl w:val="0"/>
      </w:pPr>
      <w:bookmarkStart w:id="10" w:name="_Toc283042845"/>
      <w:bookmarkStart w:id="11" w:name="_Toc283043787"/>
      <w:bookmarkStart w:id="12" w:name="_Toc285378016"/>
      <w:bookmarkStart w:id="13" w:name="_Toc298966627"/>
    </w:p>
    <w:p w:rsidR="00E46C1D" w:rsidRDefault="00E46C1D" w:rsidP="00E46C1D">
      <w:pPr>
        <w:pStyle w:val="Legenda"/>
        <w:jc w:val="center"/>
        <w:outlineLvl w:val="0"/>
      </w:pPr>
      <w:r>
        <w:t xml:space="preserve">Ilustração </w:t>
      </w:r>
      <w:fldSimple w:instr=" SEQ Ilustração \* ARABIC ">
        <w:r>
          <w:rPr>
            <w:noProof/>
          </w:rPr>
          <w:t>3</w:t>
        </w:r>
      </w:fldSimple>
      <w:r>
        <w:t xml:space="preserve">: Hipertexto e a </w:t>
      </w:r>
      <w:proofErr w:type="spellStart"/>
      <w:r>
        <w:t>multivocalidade</w:t>
      </w:r>
      <w:bookmarkEnd w:id="10"/>
      <w:bookmarkEnd w:id="11"/>
      <w:bookmarkEnd w:id="12"/>
      <w:bookmarkEnd w:id="13"/>
      <w:proofErr w:type="spellEnd"/>
    </w:p>
    <w:p w:rsidR="00E46C1D" w:rsidRDefault="00E46C1D" w:rsidP="00E46C1D">
      <w:pPr>
        <w:keepNext/>
        <w:spacing w:line="360" w:lineRule="auto"/>
        <w:jc w:val="both"/>
      </w:pPr>
      <w:r>
        <w:rPr>
          <w:noProof/>
          <w:lang w:eastAsia="pt-BR"/>
        </w:rPr>
        <w:pict>
          <v:oval id="_x0000_s1057" style="position:absolute;left:0;text-align:left;margin-left:-1.9pt;margin-top:112.1pt;width:66.45pt;height:14.2pt;z-index:251662336" filled="f"/>
        </w:pict>
      </w:r>
      <w:r>
        <w:pict>
          <v:group id="_x0000_s1026" style="width:393.45pt;height:199.9pt;mso-position-horizontal-relative:char;mso-position-vertical-relative:line" coordorigin="1091,7718" coordsize="9556,5152">
            <v:group id="_x0000_s1027" style="position:absolute;left:1091;top:7718;width:9556;height:5152" coordorigin="1091,7718" coordsize="9556,5152">
              <v:oval id="_x0000_s1028" style="position:absolute;left:1571;top:11498;width:840;height:180" filled="f"/>
              <v:line id="_x0000_s1029" style="position:absolute;flip:y" from="2291,10418" to="6611,11498">
                <v:stroke endarrow="block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0" type="#_x0000_t75" style="position:absolute;left:1091;top:7718;width:6490;height:5152" o:allowoverlap="f">
                <v:imagedata r:id="rId6" o:title="" croptop="2774f" cropbottom="3806f" cropleft="2690f" cropright="22409f"/>
              </v:shape>
              <v:shape id="_x0000_s1031" type="#_x0000_t75" style="position:absolute;left:6611;top:8618;width:4036;height:2789" wrapcoords="-80 0 -80 21484 21600 21484 21600 0 -80 0">
                <v:imagedata r:id="rId7" o:title="" cropbottom="32606f" cropright="36978f"/>
              </v:shape>
            </v:group>
            <v:oval id="_x0000_s1032" style="position:absolute;left:1691;top:11498;width:720;height:180" filled="f"/>
            <v:shape id="_x0000_s1033" style="position:absolute;left:2353;top:10418;width:4378;height:1102" coordsize="4378,1102" path="m,1102l4378,e" filled="f">
              <v:stroke endarrow="block"/>
              <v:path arrowok="t"/>
            </v:shape>
            <w10:wrap type="none"/>
            <w10:anchorlock/>
          </v:group>
        </w:pict>
      </w:r>
    </w:p>
    <w:p w:rsidR="00E46C1D" w:rsidRDefault="00E46C1D" w:rsidP="00E46C1D">
      <w:pPr>
        <w:spacing w:line="360" w:lineRule="auto"/>
        <w:ind w:firstLine="709"/>
        <w:jc w:val="both"/>
      </w:pPr>
    </w:p>
    <w:p w:rsidR="00E46C1D" w:rsidRDefault="00E46C1D" w:rsidP="00E46C1D">
      <w:pPr>
        <w:spacing w:line="360" w:lineRule="auto"/>
        <w:ind w:firstLine="709"/>
        <w:jc w:val="both"/>
      </w:pPr>
      <w:r>
        <w:lastRenderedPageBreak/>
        <w:t xml:space="preserve">A intratextualidade se faz presente em </w:t>
      </w:r>
      <w:proofErr w:type="gramStart"/>
      <w:r>
        <w:t>um AVA</w:t>
      </w:r>
      <w:proofErr w:type="gramEnd"/>
      <w:r>
        <w:t xml:space="preserve"> quando há conexões de hipertextos sem sair do hipertexto principal, ou seja,  quando podemos acessar várias partes do curso sem sair dele, como é o caso da expressão Objetos de Aprendizagem destacada em azul na ilustração 3, ao clicar nela o leitor é remetido ao glossário do AVA. Já a intertextualidade é quando estas conexões de hipertextos são externas, nos remetem a outros endereços eletrônicos. Como podemos perceber na ilustração </w:t>
      </w:r>
      <w:proofErr w:type="gramStart"/>
      <w:r>
        <w:t>3</w:t>
      </w:r>
      <w:proofErr w:type="gramEnd"/>
      <w:r>
        <w:t xml:space="preserve">, o link colocado na expressão “colaborar na/em rede” levou o leitor a outro endereço fora do curso. Esta característica é importante, pois não podemos perder de vista que </w:t>
      </w:r>
      <w:proofErr w:type="gramStart"/>
      <w:r>
        <w:t>o AVA</w:t>
      </w:r>
      <w:proofErr w:type="gramEnd"/>
      <w:r>
        <w:t xml:space="preserve"> está situado no ciberespaço, que é um universo rico em possibilidades de novas leituras e experiências.</w:t>
      </w:r>
    </w:p>
    <w:p w:rsidR="00E46C1D" w:rsidRDefault="00E46C1D" w:rsidP="00E46C1D">
      <w:pPr>
        <w:spacing w:line="360" w:lineRule="auto"/>
        <w:ind w:firstLine="709"/>
        <w:jc w:val="both"/>
      </w:pPr>
    </w:p>
    <w:p w:rsidR="00E46C1D" w:rsidRPr="0088425A" w:rsidRDefault="00E46C1D" w:rsidP="00E46C1D">
      <w:pPr>
        <w:keepNext/>
        <w:spacing w:line="360" w:lineRule="auto"/>
        <w:jc w:val="center"/>
        <w:rPr>
          <w:b/>
          <w:sz w:val="20"/>
          <w:szCs w:val="20"/>
        </w:rPr>
      </w:pPr>
      <w:bookmarkStart w:id="14" w:name="_Toc274991052"/>
      <w:bookmarkStart w:id="15" w:name="_Toc283042846"/>
      <w:bookmarkStart w:id="16" w:name="_Toc283043788"/>
      <w:bookmarkStart w:id="17" w:name="_Toc285378017"/>
      <w:r>
        <w:rPr>
          <w:b/>
          <w:noProof/>
          <w:sz w:val="20"/>
          <w:szCs w:val="20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left:0;text-align:left;margin-left:-5.3pt;margin-top:15.2pt;width:453.8pt;height:283.9pt;z-index:251661312" filled="f" stroked="f">
            <v:textbox style="mso-next-textbox:#_x0000_s1056">
              <w:txbxContent>
                <w:p w:rsidR="00E46C1D" w:rsidRPr="005B5AF5" w:rsidRDefault="00E46C1D" w:rsidP="00E46C1D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5931462" cy="3835624"/>
                        <wp:effectExtent l="0" t="0" r="0" b="0"/>
                        <wp:docPr id="71" name="Imagem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1555" cy="38356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bookmarkStart w:id="18" w:name="_Toc298966628"/>
      <w:r w:rsidRPr="0088425A">
        <w:rPr>
          <w:b/>
          <w:sz w:val="20"/>
          <w:szCs w:val="20"/>
        </w:rPr>
        <w:t xml:space="preserve">Ilustração </w:t>
      </w:r>
      <w:r w:rsidRPr="0088425A">
        <w:rPr>
          <w:b/>
          <w:sz w:val="20"/>
          <w:szCs w:val="20"/>
        </w:rPr>
        <w:fldChar w:fldCharType="begin"/>
      </w:r>
      <w:r w:rsidRPr="0088425A">
        <w:rPr>
          <w:b/>
          <w:sz w:val="20"/>
          <w:szCs w:val="20"/>
        </w:rPr>
        <w:instrText xml:space="preserve"> SEQ Ilustração \* ARABIC </w:instrText>
      </w:r>
      <w:r w:rsidRPr="0088425A">
        <w:rPr>
          <w:b/>
          <w:sz w:val="20"/>
          <w:szCs w:val="20"/>
        </w:rPr>
        <w:fldChar w:fldCharType="separate"/>
      </w:r>
      <w:r>
        <w:rPr>
          <w:b/>
          <w:noProof/>
          <w:sz w:val="20"/>
          <w:szCs w:val="20"/>
        </w:rPr>
        <w:t>4</w:t>
      </w:r>
      <w:r w:rsidRPr="0088425A">
        <w:rPr>
          <w:b/>
          <w:sz w:val="20"/>
          <w:szCs w:val="20"/>
        </w:rPr>
        <w:fldChar w:fldCharType="end"/>
      </w:r>
      <w:r w:rsidRPr="0088425A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</w:rPr>
        <w:t>H</w:t>
      </w:r>
      <w:r w:rsidRPr="0088425A">
        <w:rPr>
          <w:b/>
          <w:sz w:val="20"/>
          <w:szCs w:val="20"/>
        </w:rPr>
        <w:t>ipertexto e a intertextualidade</w:t>
      </w:r>
      <w:bookmarkEnd w:id="14"/>
      <w:bookmarkEnd w:id="15"/>
      <w:bookmarkEnd w:id="16"/>
      <w:bookmarkEnd w:id="17"/>
      <w:bookmarkEnd w:id="18"/>
    </w:p>
    <w:p w:rsidR="00E46C1D" w:rsidRDefault="00E46C1D" w:rsidP="00E46C1D">
      <w:pPr>
        <w:keepNext/>
        <w:spacing w:line="360" w:lineRule="auto"/>
        <w:jc w:val="both"/>
      </w:pPr>
    </w:p>
    <w:p w:rsidR="00E46C1D" w:rsidRDefault="00E46C1D" w:rsidP="00E46C1D">
      <w:pPr>
        <w:keepNext/>
        <w:spacing w:line="360" w:lineRule="auto"/>
        <w:jc w:val="both"/>
      </w:pPr>
    </w:p>
    <w:p w:rsidR="00E46C1D" w:rsidRDefault="00E46C1D" w:rsidP="00E46C1D">
      <w:pPr>
        <w:keepNext/>
        <w:spacing w:line="360" w:lineRule="auto"/>
        <w:jc w:val="both"/>
      </w:pPr>
    </w:p>
    <w:p w:rsidR="00E46C1D" w:rsidRDefault="00E46C1D" w:rsidP="00E46C1D">
      <w:pPr>
        <w:keepNext/>
        <w:spacing w:line="360" w:lineRule="auto"/>
        <w:jc w:val="both"/>
      </w:pPr>
    </w:p>
    <w:p w:rsidR="00E46C1D" w:rsidRDefault="00E46C1D" w:rsidP="00E46C1D">
      <w:pPr>
        <w:keepNext/>
        <w:spacing w:line="360" w:lineRule="auto"/>
        <w:jc w:val="both"/>
      </w:pPr>
    </w:p>
    <w:p w:rsidR="00E46C1D" w:rsidRDefault="00E46C1D" w:rsidP="00E46C1D">
      <w:pPr>
        <w:keepNext/>
        <w:spacing w:line="360" w:lineRule="auto"/>
        <w:jc w:val="both"/>
      </w:pPr>
    </w:p>
    <w:p w:rsidR="00E46C1D" w:rsidRDefault="00E46C1D" w:rsidP="00E46C1D">
      <w:pPr>
        <w:keepNext/>
        <w:spacing w:line="360" w:lineRule="auto"/>
        <w:jc w:val="both"/>
      </w:pPr>
    </w:p>
    <w:p w:rsidR="00E46C1D" w:rsidRDefault="00E46C1D" w:rsidP="00E46C1D">
      <w:pPr>
        <w:keepNext/>
        <w:spacing w:line="360" w:lineRule="auto"/>
        <w:jc w:val="both"/>
      </w:pPr>
    </w:p>
    <w:p w:rsidR="00E46C1D" w:rsidRDefault="00E46C1D" w:rsidP="00E46C1D">
      <w:pPr>
        <w:keepNext/>
        <w:spacing w:line="360" w:lineRule="auto"/>
        <w:jc w:val="both"/>
      </w:pPr>
    </w:p>
    <w:p w:rsidR="00E46C1D" w:rsidRDefault="00E46C1D" w:rsidP="00E46C1D">
      <w:pPr>
        <w:keepNext/>
        <w:spacing w:line="360" w:lineRule="auto"/>
        <w:jc w:val="both"/>
      </w:pPr>
    </w:p>
    <w:p w:rsidR="00E46C1D" w:rsidRDefault="00E46C1D" w:rsidP="00E46C1D">
      <w:pPr>
        <w:pStyle w:val="Legenda"/>
        <w:jc w:val="both"/>
      </w:pPr>
    </w:p>
    <w:p w:rsidR="00E46C1D" w:rsidRDefault="00E46C1D" w:rsidP="00E46C1D">
      <w:pPr>
        <w:pStyle w:val="Legenda"/>
        <w:jc w:val="both"/>
      </w:pPr>
    </w:p>
    <w:p w:rsidR="00E46C1D" w:rsidRDefault="00E46C1D" w:rsidP="00E46C1D">
      <w:pPr>
        <w:pStyle w:val="Legenda"/>
        <w:jc w:val="both"/>
      </w:pPr>
    </w:p>
    <w:p w:rsidR="00E46C1D" w:rsidRDefault="00E46C1D" w:rsidP="00E46C1D">
      <w:pPr>
        <w:pStyle w:val="Legenda"/>
        <w:jc w:val="center"/>
        <w:outlineLvl w:val="0"/>
      </w:pPr>
    </w:p>
    <w:p w:rsidR="00E46C1D" w:rsidRDefault="00E46C1D" w:rsidP="00E46C1D"/>
    <w:p w:rsidR="00E46C1D" w:rsidRPr="00400F04" w:rsidRDefault="00E46C1D" w:rsidP="00E46C1D"/>
    <w:p w:rsidR="00E46C1D" w:rsidRDefault="00E46C1D" w:rsidP="00E46C1D">
      <w:pPr>
        <w:spacing w:line="360" w:lineRule="auto"/>
        <w:ind w:firstLine="709"/>
        <w:jc w:val="both"/>
      </w:pPr>
    </w:p>
    <w:p w:rsidR="00E46C1D" w:rsidRDefault="00E46C1D" w:rsidP="00E46C1D">
      <w:pPr>
        <w:spacing w:line="360" w:lineRule="auto"/>
        <w:ind w:firstLine="709"/>
        <w:jc w:val="both"/>
      </w:pPr>
      <w:r>
        <w:t>A última característica, a multilinearidade, traz fator importante para potencializar a autoaprendizagem do estudante, que deve ser de modo livre e plural, pois ele poderá iniciar a leitura por onde desejar, como também interromper sua leitura e partir para outra parte ou até mesmo algo diferente. A ilustração abaixo sintetiza cada uma das características:</w:t>
      </w:r>
    </w:p>
    <w:p w:rsidR="00E46C1D" w:rsidRDefault="00E46C1D" w:rsidP="00E46C1D">
      <w:pPr>
        <w:spacing w:line="360" w:lineRule="auto"/>
        <w:ind w:firstLine="709"/>
        <w:jc w:val="both"/>
      </w:pPr>
    </w:p>
    <w:p w:rsidR="00E46C1D" w:rsidRDefault="00E46C1D" w:rsidP="00E46C1D">
      <w:pPr>
        <w:spacing w:line="360" w:lineRule="auto"/>
        <w:ind w:firstLine="709"/>
        <w:jc w:val="both"/>
      </w:pPr>
    </w:p>
    <w:p w:rsidR="00E46C1D" w:rsidRDefault="00E46C1D" w:rsidP="00E46C1D">
      <w:pPr>
        <w:pStyle w:val="Legenda"/>
        <w:jc w:val="center"/>
        <w:rPr>
          <w:noProof/>
        </w:rPr>
      </w:pPr>
      <w:bookmarkStart w:id="19" w:name="_Toc298966629"/>
      <w:r>
        <w:lastRenderedPageBreak/>
        <w:t xml:space="preserve">Ilustração </w:t>
      </w:r>
      <w:fldSimple w:instr=" SEQ Ilustração \* ARABIC ">
        <w:r>
          <w:rPr>
            <w:noProof/>
          </w:rPr>
          <w:t>5</w:t>
        </w:r>
      </w:fldSimple>
      <w:r>
        <w:t>: Características do hipertexto (</w:t>
      </w:r>
      <w:proofErr w:type="gramStart"/>
      <w:r>
        <w:t>SANTOS, 2009</w:t>
      </w:r>
      <w:proofErr w:type="gramEnd"/>
      <w:r>
        <w:t>)</w:t>
      </w:r>
      <w:bookmarkEnd w:id="19"/>
    </w:p>
    <w:p w:rsidR="00E46C1D" w:rsidRDefault="00E46C1D" w:rsidP="00E46C1D">
      <w:pPr>
        <w:spacing w:line="360" w:lineRule="auto"/>
        <w:ind w:firstLine="709"/>
        <w:jc w:val="both"/>
      </w:pPr>
      <w:r>
        <w:rPr>
          <w:noProof/>
          <w:lang w:eastAsia="pt-BR"/>
        </w:rPr>
        <w:pict>
          <v:group id="_x0000_s1034" style="position:absolute;left:0;text-align:left;margin-left:-2.95pt;margin-top:12pt;width:434.6pt;height:213.25pt;z-index:251660288" coordorigin="1642,4966" coordsize="8692,4265">
            <v:line id="_x0000_s1035" style="position:absolute;flip:y" from="3427,5476" to="4482,7079">
              <v:stroke endarrow="block"/>
            </v:line>
            <v:roundrect id="_x0000_s1036" style="position:absolute;left:4529;top:4966;width:2637;height:749" arcsize="10923f">
              <v:textbox style="mso-next-textbox:#_x0000_s1036" inset="1mm,1mm,1mm,1mm">
                <w:txbxContent>
                  <w:p w:rsidR="00E46C1D" w:rsidRPr="00C67E9D" w:rsidRDefault="00E46C1D" w:rsidP="00E46C1D">
                    <w:pPr>
                      <w:jc w:val="center"/>
                      <w:rPr>
                        <w:rFonts w:ascii="Calibri" w:hAnsi="Calibri"/>
                        <w:sz w:val="22"/>
                        <w:szCs w:val="22"/>
                      </w:rPr>
                    </w:pPr>
                    <w:proofErr w:type="gramStart"/>
                    <w:r w:rsidRPr="00C67E9D">
                      <w:rPr>
                        <w:rFonts w:ascii="Calibri" w:hAnsi="Calibri"/>
                        <w:sz w:val="22"/>
                        <w:szCs w:val="22"/>
                      </w:rPr>
                      <w:t>fácil</w:t>
                    </w:r>
                    <w:proofErr w:type="gramEnd"/>
                    <w:r w:rsidRPr="00C67E9D">
                      <w:rPr>
                        <w:rFonts w:ascii="Calibri" w:hAnsi="Calibri"/>
                        <w:sz w:val="22"/>
                        <w:szCs w:val="22"/>
                      </w:rPr>
                      <w:t xml:space="preserve"> acesso à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22"/>
                        <w:szCs w:val="22"/>
                      </w:rPr>
                      <w:t>informação-navegabilidadade</w:t>
                    </w:r>
                    <w:proofErr w:type="spellEnd"/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</w:t>
                    </w:r>
                    <w:r w:rsidRPr="00C67E9D">
                      <w:rPr>
                        <w:rFonts w:ascii="Calibri" w:hAnsi="Calibri"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</v:roundrect>
            <v:roundrect id="_x0000_s1037" style="position:absolute;left:4536;top:5957;width:2637;height:567" arcsize="10923f">
              <v:textbox style="mso-next-textbox:#_x0000_s1037" inset="1mm,1mm,1mm,1mm">
                <w:txbxContent>
                  <w:p w:rsidR="00E46C1D" w:rsidRPr="00C67E9D" w:rsidRDefault="00E46C1D" w:rsidP="00E46C1D">
                    <w:pPr>
                      <w:jc w:val="center"/>
                      <w:rPr>
                        <w:rFonts w:ascii="Calibri" w:hAnsi="Calibri"/>
                        <w:sz w:val="22"/>
                        <w:szCs w:val="22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2"/>
                        <w:szCs w:val="22"/>
                      </w:rPr>
                      <w:t>vários</w:t>
                    </w:r>
                    <w:proofErr w:type="gramEnd"/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pontos de vista </w:t>
                    </w:r>
                    <w:r w:rsidRPr="00C67E9D">
                      <w:rPr>
                        <w:rFonts w:ascii="Calibri" w:hAnsi="Calibri"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</v:roundrect>
            <v:roundrect id="_x0000_s1038" style="position:absolute;left:4532;top:6804;width:2637;height:749" arcsize="10923f">
              <v:textbox style="mso-next-textbox:#_x0000_s1038" inset="1mm,1mm,1mm,1mm">
                <w:txbxContent>
                  <w:p w:rsidR="00E46C1D" w:rsidRPr="00C67E9D" w:rsidRDefault="00E46C1D" w:rsidP="00E46C1D">
                    <w:pPr>
                      <w:jc w:val="center"/>
                      <w:rPr>
                        <w:rFonts w:ascii="Calibri" w:hAnsi="Calibri"/>
                        <w:sz w:val="22"/>
                        <w:szCs w:val="22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2"/>
                        <w:szCs w:val="22"/>
                      </w:rPr>
                      <w:t>conexões</w:t>
                    </w:r>
                    <w:proofErr w:type="gramEnd"/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(internas) no mesmo ambiente </w:t>
                    </w:r>
                    <w:r w:rsidRPr="00C67E9D">
                      <w:rPr>
                        <w:rFonts w:ascii="Calibri" w:hAnsi="Calibri"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</v:roundrect>
            <v:roundrect id="_x0000_s1039" style="position:absolute;left:4517;top:7734;width:2637;height:749" arcsize="10923f">
              <v:textbox style="mso-next-textbox:#_x0000_s1039" inset="1mm,1mm,1mm,1mm">
                <w:txbxContent>
                  <w:p w:rsidR="00E46C1D" w:rsidRPr="00F3389D" w:rsidRDefault="00E46C1D" w:rsidP="00E46C1D">
                    <w:pPr>
                      <w:jc w:val="center"/>
                      <w:rPr>
                        <w:rFonts w:ascii="Calibri" w:hAnsi="Calibri"/>
                        <w:spacing w:val="-12"/>
                        <w:sz w:val="22"/>
                        <w:szCs w:val="22"/>
                      </w:rPr>
                    </w:pPr>
                    <w:proofErr w:type="gramStart"/>
                    <w:r w:rsidRPr="00F3389D">
                      <w:rPr>
                        <w:rFonts w:ascii="Calibri" w:hAnsi="Calibri"/>
                        <w:spacing w:val="-12"/>
                        <w:sz w:val="22"/>
                        <w:szCs w:val="22"/>
                      </w:rPr>
                      <w:t>conexões</w:t>
                    </w:r>
                    <w:proofErr w:type="gramEnd"/>
                    <w:r w:rsidRPr="00F3389D">
                      <w:rPr>
                        <w:rFonts w:ascii="Calibri" w:hAnsi="Calibri"/>
                        <w:spacing w:val="-12"/>
                        <w:sz w:val="22"/>
                        <w:szCs w:val="22"/>
                      </w:rPr>
                      <w:t xml:space="preserve"> com outros documentos (externos) ao AVA  </w:t>
                    </w:r>
                  </w:p>
                </w:txbxContent>
              </v:textbox>
            </v:roundrect>
            <v:roundrect id="_x0000_s1040" style="position:absolute;left:4575;top:8695;width:2637;height:536" arcsize="10923f">
              <v:textbox style="mso-next-textbox:#_x0000_s1040" inset="1mm,1mm,1mm,1mm">
                <w:txbxContent>
                  <w:p w:rsidR="00E46C1D" w:rsidRPr="00C67E9D" w:rsidRDefault="00E46C1D" w:rsidP="00E46C1D">
                    <w:pPr>
                      <w:jc w:val="center"/>
                      <w:rPr>
                        <w:rFonts w:ascii="Calibri" w:hAnsi="Calibri"/>
                        <w:sz w:val="22"/>
                        <w:szCs w:val="22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2"/>
                        <w:szCs w:val="22"/>
                      </w:rPr>
                      <w:t>leituras</w:t>
                    </w:r>
                    <w:proofErr w:type="gramEnd"/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sem hierarquias </w:t>
                    </w:r>
                    <w:r w:rsidRPr="00C67E9D">
                      <w:rPr>
                        <w:rFonts w:ascii="Calibri" w:hAnsi="Calibri"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</v:roundrect>
            <v:line id="_x0000_s1041" style="position:absolute;flip:y" from="3377,6247" to="4482,7129">
              <v:stroke endarrow="block"/>
            </v:line>
            <v:line id="_x0000_s1042" style="position:absolute" from="3377,7119" to="4513,7119">
              <v:stroke endarrow="block"/>
            </v:line>
            <v:line id="_x0000_s1043" style="position:absolute" from="3397,7119" to="4482,8103">
              <v:stroke endarrow="block"/>
            </v:line>
            <v:line id="_x0000_s1044" style="position:absolute" from="3397,7109" to="4523,8944">
              <v:stroke endarrow="block"/>
            </v:line>
            <v:roundrect id="_x0000_s1045" style="position:absolute;left:1642;top:6906;width:1785;height:456" arcsize="10923f">
              <v:textbox style="mso-next-textbox:#_x0000_s1045">
                <w:txbxContent>
                  <w:p w:rsidR="00E46C1D" w:rsidRPr="00C67E9D" w:rsidRDefault="00E46C1D" w:rsidP="00E46C1D">
                    <w:pPr>
                      <w:jc w:val="center"/>
                      <w:rPr>
                        <w:rFonts w:ascii="Copperplate Gothic Light" w:hAnsi="Copperplate Gothic Light"/>
                        <w:b/>
                        <w:sz w:val="20"/>
                        <w:szCs w:val="20"/>
                      </w:rPr>
                    </w:pPr>
                    <w:r w:rsidRPr="00C67E9D">
                      <w:rPr>
                        <w:rFonts w:ascii="Copperplate Gothic Light" w:hAnsi="Copperplate Gothic Light"/>
                        <w:b/>
                        <w:sz w:val="20"/>
                        <w:szCs w:val="20"/>
                      </w:rPr>
                      <w:t>Hipertexto</w:t>
                    </w:r>
                  </w:p>
                </w:txbxContent>
              </v:textbox>
            </v:roundrect>
            <v:roundrect id="_x0000_s1046" style="position:absolute;left:7993;top:5097;width:2291;height:456" arcsize="10923f">
              <v:textbox style="mso-next-textbox:#_x0000_s1046">
                <w:txbxContent>
                  <w:p w:rsidR="00E46C1D" w:rsidRPr="00C67E9D" w:rsidRDefault="00E46C1D" w:rsidP="00E46C1D">
                    <w:pPr>
                      <w:jc w:val="center"/>
                      <w:rPr>
                        <w:rFonts w:ascii="Copperplate Gothic Light" w:hAnsi="Copperplate Gothic Light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Copperplate Gothic Light" w:hAnsi="Copperplate Gothic Light"/>
                        <w:b/>
                        <w:sz w:val="20"/>
                        <w:szCs w:val="20"/>
                      </w:rPr>
                      <w:t>Usabilidade</w:t>
                    </w:r>
                  </w:p>
                </w:txbxContent>
              </v:textbox>
            </v:roundrect>
            <v:roundrect id="_x0000_s1047" style="position:absolute;left:8013;top:6017;width:2291;height:456" arcsize="10923f">
              <v:textbox style="mso-next-textbox:#_x0000_s1047">
                <w:txbxContent>
                  <w:p w:rsidR="00E46C1D" w:rsidRPr="00C67E9D" w:rsidRDefault="00E46C1D" w:rsidP="00E46C1D">
                    <w:pPr>
                      <w:jc w:val="center"/>
                      <w:rPr>
                        <w:rFonts w:ascii="Copperplate Gothic Light" w:hAnsi="Copperplate Gothic Light"/>
                        <w:b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rFonts w:ascii="Copperplate Gothic Light" w:hAnsi="Copperplate Gothic Light"/>
                        <w:b/>
                        <w:sz w:val="20"/>
                        <w:szCs w:val="20"/>
                      </w:rPr>
                      <w:t>Multivocalidade</w:t>
                    </w:r>
                    <w:proofErr w:type="spellEnd"/>
                  </w:p>
                </w:txbxContent>
              </v:textbox>
            </v:roundrect>
            <v:roundrect id="_x0000_s1048" style="position:absolute;left:8023;top:6957;width:2291;height:456" arcsize="10923f">
              <v:textbox style="mso-next-textbox:#_x0000_s1048">
                <w:txbxContent>
                  <w:p w:rsidR="00E46C1D" w:rsidRPr="00C67E9D" w:rsidRDefault="00E46C1D" w:rsidP="00E46C1D">
                    <w:pPr>
                      <w:jc w:val="center"/>
                      <w:rPr>
                        <w:rFonts w:ascii="Copperplate Gothic Light" w:hAnsi="Copperplate Gothic Light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Copperplate Gothic Light" w:hAnsi="Copperplate Gothic Light"/>
                        <w:b/>
                        <w:sz w:val="20"/>
                        <w:szCs w:val="20"/>
                      </w:rPr>
                      <w:t>Intratextualidade</w:t>
                    </w:r>
                  </w:p>
                </w:txbxContent>
              </v:textbox>
            </v:roundrect>
            <v:roundrect id="_x0000_s1049" style="position:absolute;left:8033;top:7897;width:2291;height:456" arcsize="10923f">
              <v:textbox style="mso-next-textbox:#_x0000_s1049">
                <w:txbxContent>
                  <w:p w:rsidR="00E46C1D" w:rsidRPr="00C67E9D" w:rsidRDefault="00E46C1D" w:rsidP="00E46C1D">
                    <w:pPr>
                      <w:jc w:val="center"/>
                      <w:rPr>
                        <w:rFonts w:ascii="Copperplate Gothic Light" w:hAnsi="Copperplate Gothic Light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Copperplate Gothic Light" w:hAnsi="Copperplate Gothic Light"/>
                        <w:b/>
                        <w:sz w:val="20"/>
                        <w:szCs w:val="20"/>
                      </w:rPr>
                      <w:t>Intertextualidade</w:t>
                    </w:r>
                  </w:p>
                </w:txbxContent>
              </v:textbox>
            </v:roundrect>
            <v:roundrect id="_x0000_s1050" style="position:absolute;left:8043;top:8697;width:2291;height:456" arcsize="10923f">
              <v:textbox style="mso-next-textbox:#_x0000_s1050">
                <w:txbxContent>
                  <w:p w:rsidR="00E46C1D" w:rsidRPr="00C67E9D" w:rsidRDefault="00E46C1D" w:rsidP="00E46C1D">
                    <w:pPr>
                      <w:jc w:val="center"/>
                      <w:rPr>
                        <w:rFonts w:ascii="Copperplate Gothic Light" w:hAnsi="Copperplate Gothic Light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Copperplate Gothic Light" w:hAnsi="Copperplate Gothic Light"/>
                        <w:b/>
                        <w:sz w:val="20"/>
                        <w:szCs w:val="20"/>
                      </w:rPr>
                      <w:t>Multilinearidade</w:t>
                    </w:r>
                  </w:p>
                </w:txbxContent>
              </v:textbox>
            </v:roundrect>
            <v:line id="_x0000_s1051" style="position:absolute" from="7180,5283" to="7971,5283">
              <v:stroke endarrow="block"/>
            </v:line>
            <v:line id="_x0000_s1052" style="position:absolute" from="7200,6223" to="7991,6223">
              <v:stroke endarrow="block"/>
            </v:line>
            <v:line id="_x0000_s1053" style="position:absolute" from="7220,7163" to="8011,7163">
              <v:stroke endarrow="block"/>
            </v:line>
            <v:line id="_x0000_s1054" style="position:absolute" from="7230,8103" to="8021,8103">
              <v:stroke endarrow="block"/>
            </v:line>
            <v:line id="_x0000_s1055" style="position:absolute" from="7250,8973" to="8041,8973">
              <v:stroke endarrow="block"/>
            </v:line>
          </v:group>
        </w:pict>
      </w:r>
    </w:p>
    <w:p w:rsidR="00E46C1D" w:rsidRDefault="00E46C1D" w:rsidP="00E46C1D">
      <w:pPr>
        <w:spacing w:line="360" w:lineRule="auto"/>
        <w:jc w:val="both"/>
      </w:pPr>
    </w:p>
    <w:p w:rsidR="00E46C1D" w:rsidRDefault="00E46C1D" w:rsidP="00E46C1D">
      <w:pPr>
        <w:spacing w:line="360" w:lineRule="auto"/>
        <w:jc w:val="both"/>
      </w:pPr>
    </w:p>
    <w:p w:rsidR="00E46C1D" w:rsidRDefault="00E46C1D" w:rsidP="00E46C1D">
      <w:pPr>
        <w:spacing w:line="360" w:lineRule="auto"/>
        <w:jc w:val="both"/>
      </w:pPr>
    </w:p>
    <w:p w:rsidR="00E46C1D" w:rsidRDefault="00E46C1D" w:rsidP="00E46C1D">
      <w:pPr>
        <w:spacing w:line="360" w:lineRule="auto"/>
        <w:jc w:val="both"/>
      </w:pPr>
    </w:p>
    <w:p w:rsidR="00E46C1D" w:rsidRDefault="00E46C1D" w:rsidP="00E46C1D">
      <w:pPr>
        <w:spacing w:line="360" w:lineRule="auto"/>
        <w:jc w:val="both"/>
      </w:pPr>
    </w:p>
    <w:p w:rsidR="00E46C1D" w:rsidRDefault="00E46C1D" w:rsidP="00E46C1D">
      <w:pPr>
        <w:spacing w:line="360" w:lineRule="auto"/>
        <w:jc w:val="both"/>
      </w:pPr>
    </w:p>
    <w:p w:rsidR="00E46C1D" w:rsidRDefault="00E46C1D" w:rsidP="00E46C1D">
      <w:pPr>
        <w:spacing w:line="360" w:lineRule="auto"/>
        <w:jc w:val="both"/>
      </w:pPr>
    </w:p>
    <w:p w:rsidR="00E46C1D" w:rsidRDefault="00E46C1D" w:rsidP="00E46C1D">
      <w:pPr>
        <w:spacing w:line="360" w:lineRule="auto"/>
        <w:jc w:val="both"/>
      </w:pPr>
    </w:p>
    <w:p w:rsidR="00E46C1D" w:rsidRDefault="00E46C1D" w:rsidP="00E46C1D">
      <w:pPr>
        <w:spacing w:line="360" w:lineRule="auto"/>
        <w:jc w:val="both"/>
      </w:pPr>
    </w:p>
    <w:p w:rsidR="00E46C1D" w:rsidRDefault="00E46C1D" w:rsidP="00E46C1D">
      <w:pPr>
        <w:spacing w:line="360" w:lineRule="auto"/>
        <w:jc w:val="both"/>
      </w:pPr>
    </w:p>
    <w:p w:rsidR="00E46C1D" w:rsidRDefault="00E46C1D" w:rsidP="00E46C1D">
      <w:pPr>
        <w:spacing w:line="360" w:lineRule="auto"/>
        <w:ind w:firstLine="709"/>
        <w:jc w:val="both"/>
      </w:pPr>
    </w:p>
    <w:p w:rsidR="00CD008E" w:rsidRDefault="00CD008E" w:rsidP="00E46C1D">
      <w:pPr>
        <w:spacing w:line="360" w:lineRule="auto"/>
        <w:ind w:firstLine="709"/>
        <w:jc w:val="both"/>
      </w:pPr>
    </w:p>
    <w:p w:rsidR="00E46C1D" w:rsidRDefault="00E46C1D" w:rsidP="00E46C1D">
      <w:pPr>
        <w:spacing w:line="360" w:lineRule="auto"/>
        <w:ind w:firstLine="709"/>
        <w:jc w:val="both"/>
      </w:pPr>
      <w:r>
        <w:t xml:space="preserve">Como podemos perceber, “os modelos lineares de conteúdos fechados subutilizam o potencial do hipertexto, da </w:t>
      </w:r>
      <w:r w:rsidRPr="0054055B">
        <w:rPr>
          <w:i/>
        </w:rPr>
        <w:t>web</w:t>
      </w:r>
      <w:r>
        <w:t xml:space="preserve"> e estão submetidos ao modelo livresco para autoinstrução”. Entretanto, os conteúdos hipertextuais, com suas características já mencionadas, “devidamente sintonizados com a dinâmica do ciberespaço, são favoráveis à educação que contempla autoria, compartilhamento e colaboração entre os aprendizes em aprendizagem </w:t>
      </w:r>
      <w:r w:rsidRPr="00AF48B3">
        <w:rPr>
          <w:i/>
        </w:rPr>
        <w:t>online</w:t>
      </w:r>
      <w:r>
        <w:t xml:space="preserve">”. (SANTOS E SILVA, 2009, p. 39). </w:t>
      </w:r>
    </w:p>
    <w:p w:rsidR="00E46C1D" w:rsidRDefault="00E46C1D" w:rsidP="00E46C1D">
      <w:pPr>
        <w:spacing w:line="360" w:lineRule="auto"/>
        <w:ind w:firstLine="709"/>
        <w:jc w:val="both"/>
      </w:pPr>
      <w:r>
        <w:t xml:space="preserve">Assim como Valente (2009), compreendemos que a internet cria condições para que essas interações sejam intensas, em nosso entendimento, levando-os à interatividade, possibilitando ao docente tanto acompanhar as ações do discente, quanto “estar junto” dele, auxiliando-o a resolver seus problemas, mas virtualmente. </w:t>
      </w:r>
      <w:r w:rsidRPr="00143831">
        <w:t xml:space="preserve">O computador conectado possui essa disposição comunicacional que é compatível com o que se vêm sugerindo para as práticas pedagógicas no ambiente </w:t>
      </w:r>
      <w:r w:rsidRPr="00143831">
        <w:rPr>
          <w:i/>
        </w:rPr>
        <w:t>online</w:t>
      </w:r>
      <w:r w:rsidRPr="00143831">
        <w:t>. O potencial interativo do computador conectado na ação pedagógica “se revela na possibilidade de criação dialógica e intersubjetiva propiciada pelas interações entre pensamentos, conceitos, imagens, mídias e ideias nas quais o sujeito atua de forma consciente com os objetos de conhecimento” (ALMEIDA, 2006, p. 205)</w:t>
      </w:r>
      <w:r>
        <w:t>.</w:t>
      </w:r>
    </w:p>
    <w:p w:rsidR="00E46C1D" w:rsidRDefault="00E46C1D" w:rsidP="00E46C1D">
      <w:pPr>
        <w:spacing w:line="360" w:lineRule="auto"/>
        <w:ind w:firstLine="709"/>
        <w:jc w:val="both"/>
      </w:pPr>
      <w:r>
        <w:t xml:space="preserve"> A interatividade que ocorre entre os discentes, um ajudando o outro com o conhecimento que possui, estabelece uma verdadeira rede, ampliada com a participação do docente, que pode aprender no mesmo tempo em que mantém o ciclo de ações funcionando com cada um dos discentes. A recursividade existente nessas relações </w:t>
      </w:r>
      <w:r>
        <w:lastRenderedPageBreak/>
        <w:t xml:space="preserve">diferencia substancialmente a educação </w:t>
      </w:r>
      <w:r w:rsidRPr="00AF48B3">
        <w:rPr>
          <w:i/>
        </w:rPr>
        <w:t>online</w:t>
      </w:r>
      <w:r>
        <w:t xml:space="preserve"> da EAD, a aprendizagem solitária, perde força para a aprendizagem colaborativa ou interaprendizagem (MASETTO, 2003). No entanto, não estamos descartando a autoaprendizagem, pois ela é importante para qualquer discente, mas agregando valor a ela com a contribuição do segundo tipo, reconfigurando assim a forma de aprender. Dessa maneira, a internet propicia as condições para o professor “estar junto” de cada discente, auxiliando o seu processo de construção do conhecimento, assim como a troca entre os próprios discentes. A interatividade entre todos pertencentes ao curso, ou seja, o enredamento comunicacional</w:t>
      </w:r>
      <w:proofErr w:type="gramStart"/>
      <w:r>
        <w:t>, potencializa</w:t>
      </w:r>
      <w:proofErr w:type="gramEnd"/>
      <w:r>
        <w:t xml:space="preserve"> a aprendizagem significativa, uma vez que o discente é ator/autor ativo dessa construção. </w:t>
      </w:r>
    </w:p>
    <w:p w:rsidR="005C22AA" w:rsidRDefault="005C22AA" w:rsidP="00E46C1D">
      <w:pPr>
        <w:spacing w:line="360" w:lineRule="auto"/>
        <w:ind w:firstLine="709"/>
        <w:jc w:val="both"/>
      </w:pPr>
    </w:p>
    <w:p w:rsidR="00CD008E" w:rsidRDefault="00CD008E" w:rsidP="00E46C1D">
      <w:pPr>
        <w:spacing w:line="360" w:lineRule="auto"/>
        <w:ind w:firstLine="709"/>
        <w:jc w:val="both"/>
      </w:pPr>
    </w:p>
    <w:p w:rsidR="005C22AA" w:rsidRPr="00634648" w:rsidRDefault="005C22AA" w:rsidP="005C22AA">
      <w:pPr>
        <w:outlineLvl w:val="0"/>
        <w:rPr>
          <w:b/>
        </w:rPr>
      </w:pPr>
      <w:r w:rsidRPr="00634648">
        <w:rPr>
          <w:b/>
        </w:rPr>
        <w:t>REFERÊNCIAS</w:t>
      </w:r>
    </w:p>
    <w:p w:rsidR="005C22AA" w:rsidRDefault="005C22AA" w:rsidP="005C22AA">
      <w:pPr>
        <w:spacing w:line="360" w:lineRule="auto"/>
        <w:jc w:val="both"/>
      </w:pPr>
    </w:p>
    <w:p w:rsidR="005C22AA" w:rsidRDefault="005C22AA" w:rsidP="005C22AA">
      <w:pPr>
        <w:pStyle w:val="Ttulo"/>
        <w:spacing w:before="0" w:after="0"/>
        <w:rPr>
          <w:color w:val="auto"/>
        </w:rPr>
      </w:pPr>
      <w:r>
        <w:rPr>
          <w:color w:val="auto"/>
        </w:rPr>
        <w:t>ALMEIDA, M. E. B de. Educação, ambientes virtuais e interatividade. In: SILVA, M.(</w:t>
      </w:r>
      <w:proofErr w:type="spellStart"/>
      <w:r>
        <w:rPr>
          <w:color w:val="auto"/>
        </w:rPr>
        <w:t>org</w:t>
      </w:r>
      <w:proofErr w:type="spellEnd"/>
      <w:r>
        <w:rPr>
          <w:color w:val="auto"/>
        </w:rPr>
        <w:t xml:space="preserve">) </w:t>
      </w:r>
      <w:r>
        <w:rPr>
          <w:bCs/>
          <w:i/>
          <w:color w:val="auto"/>
        </w:rPr>
        <w:t xml:space="preserve">Educação </w:t>
      </w:r>
      <w:r>
        <w:rPr>
          <w:rStyle w:val="spelle"/>
          <w:bCs/>
          <w:i/>
          <w:color w:val="auto"/>
        </w:rPr>
        <w:t>online</w:t>
      </w:r>
      <w:r>
        <w:rPr>
          <w:bCs/>
          <w:color w:val="auto"/>
        </w:rPr>
        <w:t>: teorias, práticas, legislação, formação corporativa</w:t>
      </w:r>
      <w:r>
        <w:rPr>
          <w:color w:val="auto"/>
        </w:rPr>
        <w:t xml:space="preserve">. </w:t>
      </w:r>
      <w:proofErr w:type="gramStart"/>
      <w:r>
        <w:rPr>
          <w:color w:val="auto"/>
        </w:rPr>
        <w:t>2.</w:t>
      </w:r>
      <w:proofErr w:type="gramEnd"/>
      <w:r>
        <w:rPr>
          <w:color w:val="auto"/>
        </w:rPr>
        <w:t>ed. São Paulo: Loyola, 2006, p. 203-217.</w:t>
      </w:r>
    </w:p>
    <w:p w:rsidR="005C22AA" w:rsidRDefault="005C22AA" w:rsidP="005C22AA">
      <w:pPr>
        <w:spacing w:line="360" w:lineRule="auto"/>
        <w:jc w:val="both"/>
      </w:pPr>
    </w:p>
    <w:p w:rsidR="005C22AA" w:rsidRDefault="005C22AA" w:rsidP="005C22AA">
      <w:pPr>
        <w:autoSpaceDE w:val="0"/>
      </w:pPr>
      <w:r>
        <w:t xml:space="preserve">LÉVY, P. </w:t>
      </w:r>
      <w:r>
        <w:rPr>
          <w:i/>
        </w:rPr>
        <w:t>As tecnologias da inteligência</w:t>
      </w:r>
      <w:r>
        <w:t>: o futuro do pensamento na era da informática. São Paulo: Editora 34, 1993.</w:t>
      </w:r>
    </w:p>
    <w:p w:rsidR="005C22AA" w:rsidRDefault="005C22AA" w:rsidP="005C22AA">
      <w:pPr>
        <w:spacing w:line="360" w:lineRule="auto"/>
        <w:jc w:val="both"/>
      </w:pPr>
    </w:p>
    <w:p w:rsidR="005C22AA" w:rsidRDefault="005C22AA" w:rsidP="005C22AA">
      <w:pPr>
        <w:autoSpaceDE w:val="0"/>
        <w:autoSpaceDN w:val="0"/>
        <w:adjustRightInd w:val="0"/>
      </w:pPr>
      <w:r>
        <w:t xml:space="preserve">MARCUSCHI, </w:t>
      </w:r>
      <w:proofErr w:type="spellStart"/>
      <w:r>
        <w:t>L.A.</w:t>
      </w:r>
      <w:proofErr w:type="spellEnd"/>
      <w:r>
        <w:t xml:space="preserve"> O hipertexto como um novo espaço de escrita em sala de aula. In: A</w:t>
      </w:r>
      <w:r w:rsidRPr="0012509E">
        <w:t>ZEREDO</w:t>
      </w:r>
      <w:r>
        <w:t xml:space="preserve">, </w:t>
      </w:r>
      <w:proofErr w:type="spellStart"/>
      <w:r>
        <w:t>J.C.</w:t>
      </w:r>
      <w:proofErr w:type="spellEnd"/>
      <w:r>
        <w:t xml:space="preserve"> (org.). </w:t>
      </w:r>
      <w:r>
        <w:rPr>
          <w:i/>
        </w:rPr>
        <w:t>Lí</w:t>
      </w:r>
      <w:r w:rsidRPr="0012509E">
        <w:rPr>
          <w:i/>
        </w:rPr>
        <w:t>ngua Portuguesa em debate</w:t>
      </w:r>
      <w:r>
        <w:t xml:space="preserve">. Petrópolis: Vozes, 2000. </w:t>
      </w:r>
      <w:proofErr w:type="gramStart"/>
      <w:r>
        <w:t>pp.</w:t>
      </w:r>
      <w:proofErr w:type="gramEnd"/>
      <w:r>
        <w:t xml:space="preserve"> 87-111.</w:t>
      </w:r>
    </w:p>
    <w:p w:rsidR="005C22AA" w:rsidRDefault="005C22AA" w:rsidP="005C22AA">
      <w:pPr>
        <w:autoSpaceDE w:val="0"/>
        <w:rPr>
          <w:bCs/>
        </w:rPr>
      </w:pPr>
    </w:p>
    <w:p w:rsidR="005C22AA" w:rsidRDefault="005C22AA" w:rsidP="005C22AA">
      <w:pPr>
        <w:autoSpaceDE w:val="0"/>
        <w:rPr>
          <w:bCs/>
        </w:rPr>
      </w:pPr>
      <w:r w:rsidRPr="008D7F4E">
        <w:rPr>
          <w:bCs/>
        </w:rPr>
        <w:t>MASETTO, M. T. Mediação pedagógica e o uso da tecnologia. In: MORAN, M. J</w:t>
      </w:r>
      <w:proofErr w:type="gramStart"/>
      <w:r w:rsidRPr="008D7F4E">
        <w:rPr>
          <w:bCs/>
        </w:rPr>
        <w:t>.;</w:t>
      </w:r>
      <w:proofErr w:type="gramEnd"/>
      <w:r w:rsidRPr="008D7F4E">
        <w:rPr>
          <w:bCs/>
        </w:rPr>
        <w:t xml:space="preserve"> BEHRENS, M. A.; MASETTO, </w:t>
      </w:r>
      <w:proofErr w:type="spellStart"/>
      <w:r w:rsidRPr="008D7F4E">
        <w:rPr>
          <w:bCs/>
        </w:rPr>
        <w:t>M.T.</w:t>
      </w:r>
      <w:proofErr w:type="spellEnd"/>
      <w:r w:rsidRPr="008D7F4E">
        <w:rPr>
          <w:bCs/>
        </w:rPr>
        <w:t xml:space="preserve"> </w:t>
      </w:r>
      <w:r w:rsidRPr="008D7F4E">
        <w:rPr>
          <w:bCs/>
          <w:i/>
        </w:rPr>
        <w:t>Novas tecnologias e mediação pedagógica</w:t>
      </w:r>
      <w:r w:rsidRPr="008D7F4E">
        <w:rPr>
          <w:bCs/>
        </w:rPr>
        <w:t xml:space="preserve">. Campinas, SP: </w:t>
      </w:r>
      <w:proofErr w:type="spellStart"/>
      <w:r w:rsidRPr="008D7F4E">
        <w:rPr>
          <w:bCs/>
        </w:rPr>
        <w:t>Papirus</w:t>
      </w:r>
      <w:proofErr w:type="spellEnd"/>
      <w:r w:rsidRPr="008D7F4E">
        <w:rPr>
          <w:bCs/>
        </w:rPr>
        <w:t xml:space="preserve">. </w:t>
      </w:r>
      <w:proofErr w:type="gramStart"/>
      <w:r w:rsidRPr="008D7F4E">
        <w:rPr>
          <w:bCs/>
        </w:rPr>
        <w:t>6</w:t>
      </w:r>
      <w:r>
        <w:rPr>
          <w:bCs/>
        </w:rPr>
        <w:t>.</w:t>
      </w:r>
      <w:proofErr w:type="gramEnd"/>
      <w:r w:rsidRPr="008D7F4E">
        <w:rPr>
          <w:bCs/>
        </w:rPr>
        <w:t>ed</w:t>
      </w:r>
      <w:r>
        <w:rPr>
          <w:bCs/>
        </w:rPr>
        <w:t>.</w:t>
      </w:r>
      <w:r w:rsidRPr="008D7F4E">
        <w:rPr>
          <w:bCs/>
        </w:rPr>
        <w:t xml:space="preserve"> 2003. </w:t>
      </w:r>
      <w:proofErr w:type="gramStart"/>
      <w:r w:rsidRPr="008D7F4E">
        <w:rPr>
          <w:bCs/>
        </w:rPr>
        <w:t>pp.</w:t>
      </w:r>
      <w:proofErr w:type="gramEnd"/>
      <w:r w:rsidRPr="008D7F4E">
        <w:rPr>
          <w:bCs/>
        </w:rPr>
        <w:t xml:space="preserve"> 133-173.</w:t>
      </w:r>
    </w:p>
    <w:p w:rsidR="005C22AA" w:rsidRDefault="005C22AA" w:rsidP="005C22AA">
      <w:pPr>
        <w:pStyle w:val="Ttulo"/>
        <w:spacing w:before="0" w:after="0"/>
        <w:rPr>
          <w:color w:val="auto"/>
        </w:rPr>
      </w:pPr>
    </w:p>
    <w:p w:rsidR="005C22AA" w:rsidRDefault="005C22AA" w:rsidP="005C22AA">
      <w:pPr>
        <w:pStyle w:val="Ttulo"/>
        <w:spacing w:before="0" w:after="0"/>
      </w:pPr>
      <w:r>
        <w:t xml:space="preserve">MORAN J. M. Contribuições para uma pedagogia da educação </w:t>
      </w:r>
      <w:r>
        <w:rPr>
          <w:i/>
        </w:rPr>
        <w:t>online</w:t>
      </w:r>
      <w:r>
        <w:t>. In: SILVA, M.(</w:t>
      </w:r>
      <w:proofErr w:type="spellStart"/>
      <w:r>
        <w:t>org</w:t>
      </w:r>
      <w:proofErr w:type="spellEnd"/>
      <w:r>
        <w:t xml:space="preserve">). </w:t>
      </w:r>
      <w:r>
        <w:rPr>
          <w:bCs/>
          <w:i/>
        </w:rPr>
        <w:t xml:space="preserve">Educação </w:t>
      </w:r>
      <w:r>
        <w:rPr>
          <w:rStyle w:val="spelle"/>
          <w:bCs/>
          <w:i/>
          <w:color w:val="auto"/>
        </w:rPr>
        <w:t>online</w:t>
      </w:r>
      <w:r>
        <w:rPr>
          <w:bCs/>
        </w:rPr>
        <w:t>: teorias, práticas, legislação, formação corporativa</w:t>
      </w:r>
      <w:r>
        <w:t xml:space="preserve">. </w:t>
      </w:r>
      <w:proofErr w:type="gramStart"/>
      <w:r>
        <w:t>2.</w:t>
      </w:r>
      <w:proofErr w:type="gramEnd"/>
      <w:r>
        <w:t xml:space="preserve">ed. São Paulo: Loyola, 2006. </w:t>
      </w:r>
      <w:proofErr w:type="gramStart"/>
      <w:r>
        <w:t>pp.</w:t>
      </w:r>
      <w:proofErr w:type="gramEnd"/>
      <w:r>
        <w:t xml:space="preserve"> 39-52.</w:t>
      </w:r>
    </w:p>
    <w:p w:rsidR="005C22AA" w:rsidRDefault="005C22AA" w:rsidP="005C22AA">
      <w:pPr>
        <w:spacing w:line="360" w:lineRule="auto"/>
        <w:jc w:val="both"/>
      </w:pPr>
    </w:p>
    <w:p w:rsidR="005C22AA" w:rsidRPr="00402038" w:rsidRDefault="005C22AA" w:rsidP="005C22AA">
      <w:pPr>
        <w:autoSpaceDE w:val="0"/>
        <w:rPr>
          <w:bCs/>
        </w:rPr>
      </w:pPr>
      <w:r w:rsidRPr="00402038">
        <w:rPr>
          <w:bCs/>
        </w:rPr>
        <w:t xml:space="preserve">MORGADO, L. </w:t>
      </w:r>
      <w:r w:rsidRPr="00402038">
        <w:rPr>
          <w:bCs/>
          <w:i/>
        </w:rPr>
        <w:t>O lugar do hipertexto na aprendizagem</w:t>
      </w:r>
      <w:r w:rsidRPr="00402038">
        <w:rPr>
          <w:bCs/>
        </w:rPr>
        <w:t xml:space="preserve">. Disponível em </w:t>
      </w:r>
      <w:r>
        <w:rPr>
          <w:bCs/>
        </w:rPr>
        <w:t>&lt;</w:t>
      </w:r>
      <w:proofErr w:type="gramStart"/>
      <w:r w:rsidRPr="00402038">
        <w:rPr>
          <w:bCs/>
        </w:rPr>
        <w:t>http://www.serprofessoruniversitario.pro.br/ler.</w:t>
      </w:r>
      <w:proofErr w:type="gramEnd"/>
      <w:r w:rsidRPr="00402038">
        <w:rPr>
          <w:bCs/>
        </w:rPr>
        <w:t>php?</w:t>
      </w:r>
      <w:proofErr w:type="gramStart"/>
      <w:r w:rsidRPr="00402038">
        <w:rPr>
          <w:bCs/>
        </w:rPr>
        <w:t>modulo</w:t>
      </w:r>
      <w:proofErr w:type="gramEnd"/>
      <w:r w:rsidRPr="00402038">
        <w:rPr>
          <w:bCs/>
        </w:rPr>
        <w:t>=18&amp;texto=1037</w:t>
      </w:r>
      <w:r>
        <w:rPr>
          <w:bCs/>
        </w:rPr>
        <w:t>&gt;</w:t>
      </w:r>
      <w:r w:rsidRPr="00402038">
        <w:rPr>
          <w:bCs/>
        </w:rPr>
        <w:t>. Acesso em</w:t>
      </w:r>
      <w:r>
        <w:rPr>
          <w:bCs/>
        </w:rPr>
        <w:t>:</w:t>
      </w:r>
      <w:r w:rsidRPr="00402038">
        <w:rPr>
          <w:bCs/>
        </w:rPr>
        <w:t xml:space="preserve"> maio de 2010.</w:t>
      </w:r>
    </w:p>
    <w:p w:rsidR="005C22AA" w:rsidRDefault="005C22AA" w:rsidP="005C22AA">
      <w:pPr>
        <w:autoSpaceDE w:val="0"/>
        <w:rPr>
          <w:bCs/>
        </w:rPr>
      </w:pPr>
    </w:p>
    <w:p w:rsidR="005C22AA" w:rsidRDefault="005C22AA" w:rsidP="005C22AA">
      <w:pPr>
        <w:autoSpaceDE w:val="0"/>
        <w:rPr>
          <w:spacing w:val="-2"/>
        </w:rPr>
      </w:pPr>
      <w:r>
        <w:rPr>
          <w:spacing w:val="-2"/>
        </w:rPr>
        <w:t xml:space="preserve">SANTOS, E. Educação on-line: a dinâmica sociotécnica para além da educação </w:t>
      </w:r>
      <w:proofErr w:type="gramStart"/>
      <w:r>
        <w:rPr>
          <w:spacing w:val="-2"/>
        </w:rPr>
        <w:t>a</w:t>
      </w:r>
      <w:proofErr w:type="gramEnd"/>
      <w:r>
        <w:rPr>
          <w:spacing w:val="-2"/>
        </w:rPr>
        <w:t xml:space="preserve"> distância. In: PRETTO, N. L. (Org.). </w:t>
      </w:r>
      <w:r>
        <w:rPr>
          <w:i/>
          <w:spacing w:val="-2"/>
        </w:rPr>
        <w:t>Tecnologia e novas Educações</w:t>
      </w:r>
      <w:r>
        <w:rPr>
          <w:spacing w:val="-2"/>
        </w:rPr>
        <w:t xml:space="preserve">. Salvador/Bahia: </w:t>
      </w:r>
      <w:proofErr w:type="spellStart"/>
      <w:r>
        <w:rPr>
          <w:spacing w:val="-2"/>
        </w:rPr>
        <w:t>Edufba</w:t>
      </w:r>
      <w:proofErr w:type="spellEnd"/>
      <w:r>
        <w:rPr>
          <w:spacing w:val="-2"/>
        </w:rPr>
        <w:t xml:space="preserve">, 2005. </w:t>
      </w:r>
    </w:p>
    <w:p w:rsidR="005C22AA" w:rsidRDefault="005C22AA" w:rsidP="005C22AA">
      <w:pPr>
        <w:spacing w:line="360" w:lineRule="auto"/>
        <w:jc w:val="both"/>
      </w:pPr>
      <w:r>
        <w:t xml:space="preserve"> </w:t>
      </w:r>
    </w:p>
    <w:p w:rsidR="005C22AA" w:rsidRPr="00DF7100" w:rsidRDefault="005C22AA" w:rsidP="005C22AA">
      <w:pPr>
        <w:autoSpaceDE w:val="0"/>
        <w:rPr>
          <w:spacing w:val="-2"/>
        </w:rPr>
      </w:pPr>
      <w:r w:rsidRPr="00DF7100">
        <w:rPr>
          <w:spacing w:val="-2"/>
        </w:rPr>
        <w:lastRenderedPageBreak/>
        <w:t xml:space="preserve">SANTOS, E. Educação </w:t>
      </w:r>
      <w:r w:rsidRPr="00DF7100">
        <w:rPr>
          <w:i/>
          <w:spacing w:val="-2"/>
        </w:rPr>
        <w:t>online</w:t>
      </w:r>
      <w:r w:rsidRPr="00DF7100">
        <w:rPr>
          <w:spacing w:val="-2"/>
        </w:rPr>
        <w:t xml:space="preserve"> como campo de pesquisa-formação: potencialidades das</w:t>
      </w:r>
      <w:r>
        <w:rPr>
          <w:spacing w:val="-2"/>
        </w:rPr>
        <w:t xml:space="preserve"> </w:t>
      </w:r>
      <w:r w:rsidRPr="00DF7100">
        <w:rPr>
          <w:spacing w:val="-2"/>
        </w:rPr>
        <w:t>interfaces digitais. In</w:t>
      </w:r>
      <w:proofErr w:type="gramStart"/>
      <w:r w:rsidRPr="00DF7100">
        <w:rPr>
          <w:spacing w:val="-2"/>
        </w:rPr>
        <w:t>.:</w:t>
      </w:r>
      <w:proofErr w:type="gramEnd"/>
      <w:r w:rsidRPr="00DF7100">
        <w:rPr>
          <w:spacing w:val="-2"/>
        </w:rPr>
        <w:t xml:space="preserve"> SANTOS, E., ALVES, L. </w:t>
      </w:r>
      <w:r w:rsidRPr="00DF7100">
        <w:rPr>
          <w:i/>
          <w:spacing w:val="-2"/>
        </w:rPr>
        <w:t>Práticas Pedagógicas e tecnologias digitais</w:t>
      </w:r>
      <w:r w:rsidRPr="00DF7100">
        <w:rPr>
          <w:spacing w:val="-2"/>
        </w:rPr>
        <w:t xml:space="preserve">. Rio de Janeiro: </w:t>
      </w:r>
      <w:proofErr w:type="spellStart"/>
      <w:r w:rsidRPr="00DF7100">
        <w:rPr>
          <w:spacing w:val="-2"/>
        </w:rPr>
        <w:t>E-papers</w:t>
      </w:r>
      <w:proofErr w:type="spellEnd"/>
      <w:r w:rsidRPr="00DF7100">
        <w:rPr>
          <w:spacing w:val="-2"/>
        </w:rPr>
        <w:t>, 2006.</w:t>
      </w:r>
    </w:p>
    <w:p w:rsidR="005C22AA" w:rsidRDefault="005C22AA" w:rsidP="005C22AA">
      <w:pPr>
        <w:spacing w:line="360" w:lineRule="auto"/>
        <w:jc w:val="both"/>
      </w:pPr>
    </w:p>
    <w:p w:rsidR="005C22AA" w:rsidRDefault="005C22AA" w:rsidP="005C22AA">
      <w:r>
        <w:t xml:space="preserve">SANTOS, E; SILVA, M. O desenho didático interativo na educação </w:t>
      </w:r>
      <w:r>
        <w:rPr>
          <w:i/>
        </w:rPr>
        <w:t>online</w:t>
      </w:r>
      <w:r>
        <w:t xml:space="preserve">. In: </w:t>
      </w:r>
      <w:r w:rsidRPr="00365BA7">
        <w:rPr>
          <w:i/>
        </w:rPr>
        <w:t xml:space="preserve">Revista </w:t>
      </w:r>
      <w:proofErr w:type="spellStart"/>
      <w:r w:rsidRPr="00365BA7">
        <w:rPr>
          <w:i/>
        </w:rPr>
        <w:t>Iberoamericana</w:t>
      </w:r>
      <w:proofErr w:type="spellEnd"/>
      <w:r w:rsidRPr="00365BA7">
        <w:rPr>
          <w:i/>
        </w:rPr>
        <w:t xml:space="preserve"> de </w:t>
      </w:r>
      <w:proofErr w:type="spellStart"/>
      <w:r w:rsidRPr="00365BA7">
        <w:rPr>
          <w:i/>
        </w:rPr>
        <w:t>Educación</w:t>
      </w:r>
      <w:proofErr w:type="spellEnd"/>
      <w:r>
        <w:t xml:space="preserve"> - Número 49/2009, pp. 267-287. Disponível em: </w:t>
      </w:r>
      <w:r w:rsidRPr="00365BA7">
        <w:t>http://www.rieoei.org/rie49.htm</w:t>
      </w:r>
      <w:r>
        <w:t>. Acesso em: maio de 2009</w:t>
      </w:r>
    </w:p>
    <w:p w:rsidR="005C22AA" w:rsidRDefault="005C22AA" w:rsidP="005C22AA">
      <w:pPr>
        <w:autoSpaceDE w:val="0"/>
      </w:pPr>
    </w:p>
    <w:p w:rsidR="005C22AA" w:rsidRDefault="005C22AA" w:rsidP="005C22AA">
      <w:pPr>
        <w:autoSpaceDE w:val="0"/>
      </w:pPr>
      <w:r>
        <w:t xml:space="preserve">SILVA, M. </w:t>
      </w:r>
      <w:r>
        <w:rPr>
          <w:i/>
        </w:rPr>
        <w:t>Sala de aula interativa</w:t>
      </w:r>
      <w:r>
        <w:t>. Rio de Janeiro: Loyola, 2010.</w:t>
      </w:r>
    </w:p>
    <w:p w:rsidR="005C22AA" w:rsidRDefault="005C22AA" w:rsidP="005C22AA">
      <w:pPr>
        <w:autoSpaceDE w:val="0"/>
      </w:pPr>
    </w:p>
    <w:p w:rsidR="005C22AA" w:rsidRDefault="005C22AA" w:rsidP="005C22AA">
      <w:pPr>
        <w:autoSpaceDE w:val="0"/>
      </w:pPr>
      <w:r>
        <w:rPr>
          <w:bCs/>
        </w:rPr>
        <w:t xml:space="preserve">SODRÉ, M. </w:t>
      </w:r>
      <w:proofErr w:type="spellStart"/>
      <w:r>
        <w:rPr>
          <w:bCs/>
        </w:rPr>
        <w:t>Eticidade</w:t>
      </w:r>
      <w:proofErr w:type="spellEnd"/>
      <w:r>
        <w:rPr>
          <w:bCs/>
        </w:rPr>
        <w:t xml:space="preserve">, campo comunicacional e midiatização. </w:t>
      </w:r>
      <w:r>
        <w:t xml:space="preserve">In: MORAES, </w:t>
      </w:r>
      <w:proofErr w:type="gramStart"/>
      <w:r>
        <w:t>D.</w:t>
      </w:r>
      <w:proofErr w:type="gramEnd"/>
      <w:r>
        <w:t xml:space="preserve"> (</w:t>
      </w:r>
      <w:proofErr w:type="spellStart"/>
      <w:r>
        <w:t>org</w:t>
      </w:r>
      <w:proofErr w:type="spellEnd"/>
      <w:r>
        <w:t xml:space="preserve">) </w:t>
      </w:r>
      <w:r>
        <w:rPr>
          <w:i/>
        </w:rPr>
        <w:t>Sociedade midiatizada</w:t>
      </w:r>
      <w:r>
        <w:t xml:space="preserve">. Rio de Janeiro: </w:t>
      </w:r>
      <w:proofErr w:type="spellStart"/>
      <w:r>
        <w:t>Mauad</w:t>
      </w:r>
      <w:proofErr w:type="spellEnd"/>
      <w:r>
        <w:t>, 2006, pp.19-40.</w:t>
      </w:r>
    </w:p>
    <w:p w:rsidR="005C22AA" w:rsidRDefault="005C22AA" w:rsidP="005C22AA">
      <w:pPr>
        <w:spacing w:line="360" w:lineRule="auto"/>
        <w:jc w:val="both"/>
      </w:pPr>
    </w:p>
    <w:p w:rsidR="005C22AA" w:rsidRDefault="005C22AA" w:rsidP="005C22AA">
      <w:pPr>
        <w:pStyle w:val="NormalWeb"/>
        <w:spacing w:before="0" w:after="0"/>
      </w:pPr>
      <w:r>
        <w:t xml:space="preserve">VALENTE, A. J. </w:t>
      </w:r>
      <w:r w:rsidRPr="00A54A05">
        <w:rPr>
          <w:i/>
        </w:rPr>
        <w:t xml:space="preserve">Educação </w:t>
      </w:r>
      <w:proofErr w:type="gramStart"/>
      <w:r w:rsidRPr="00A54A05">
        <w:rPr>
          <w:i/>
        </w:rPr>
        <w:t>a</w:t>
      </w:r>
      <w:proofErr w:type="gramEnd"/>
      <w:r w:rsidRPr="00A54A05">
        <w:rPr>
          <w:i/>
        </w:rPr>
        <w:t xml:space="preserve"> distância</w:t>
      </w:r>
      <w:r>
        <w:t>: ampliando o leque de possibilidades pedagógicas. In:</w:t>
      </w:r>
      <w:proofErr w:type="gramStart"/>
      <w:r>
        <w:t xml:space="preserve">  </w:t>
      </w:r>
      <w:proofErr w:type="gramEnd"/>
      <w:r>
        <w:rPr>
          <w:i/>
        </w:rPr>
        <w:t>Revista Fonte</w:t>
      </w:r>
      <w:r>
        <w:t xml:space="preserve">, número 8, dezembro de 2008, 105-113. Disponível em: </w:t>
      </w:r>
      <w:proofErr w:type="gramStart"/>
      <w:r>
        <w:t>http://www.prodemge.mg.gov.br/index.</w:t>
      </w:r>
      <w:proofErr w:type="gramEnd"/>
      <w:r>
        <w:t>php?</w:t>
      </w:r>
      <w:proofErr w:type="gramStart"/>
      <w:r>
        <w:t>option</w:t>
      </w:r>
      <w:proofErr w:type="gramEnd"/>
      <w:r>
        <w:t>=com_content&amp;task=view&amp;id=112&amp;Itemid=138. Acesso em: maio de 2009.</w:t>
      </w:r>
    </w:p>
    <w:p w:rsidR="005C22AA" w:rsidRDefault="005C22AA" w:rsidP="005C22AA">
      <w:pPr>
        <w:spacing w:line="360" w:lineRule="auto"/>
        <w:jc w:val="both"/>
      </w:pPr>
    </w:p>
    <w:p w:rsidR="005C22AA" w:rsidRPr="007623B9" w:rsidRDefault="005C22AA" w:rsidP="005C22AA">
      <w:pPr>
        <w:pStyle w:val="NormalWeb"/>
        <w:spacing w:before="0" w:after="0"/>
      </w:pPr>
      <w:r>
        <w:t xml:space="preserve">XAVIER, A. C. Leitura, texto e hipertexto. </w:t>
      </w:r>
      <w:r w:rsidRPr="007623B9">
        <w:rPr>
          <w:lang w:val="en-US"/>
        </w:rPr>
        <w:t xml:space="preserve">In: MARCUSCHI, L. A.; XAVIER, A. </w:t>
      </w:r>
      <w:r>
        <w:rPr>
          <w:lang w:val="en-US"/>
        </w:rPr>
        <w:t xml:space="preserve">C. (orgs.). </w:t>
      </w:r>
      <w:r w:rsidRPr="00A54A05">
        <w:rPr>
          <w:i/>
        </w:rPr>
        <w:t>Hipertextos e gêneros digitais</w:t>
      </w:r>
      <w:r w:rsidRPr="007623B9">
        <w:t xml:space="preserve">: novas formas de construção do sentido. </w:t>
      </w:r>
      <w:r>
        <w:t xml:space="preserve">Rio de Janeiro: Lucerna, 2004, pp. 170-180. </w:t>
      </w:r>
    </w:p>
    <w:p w:rsidR="005C22AA" w:rsidRPr="007623B9" w:rsidRDefault="005C22AA" w:rsidP="005C22AA">
      <w:pPr>
        <w:pStyle w:val="NormalWeb"/>
        <w:spacing w:before="0" w:after="0"/>
      </w:pPr>
    </w:p>
    <w:p w:rsidR="00E46C1D" w:rsidRDefault="00E46C1D" w:rsidP="00E46C1D">
      <w:pPr>
        <w:autoSpaceDE w:val="0"/>
        <w:spacing w:line="360" w:lineRule="auto"/>
        <w:jc w:val="both"/>
        <w:rPr>
          <w:b/>
        </w:rPr>
      </w:pPr>
    </w:p>
    <w:p w:rsidR="00E46C1D" w:rsidRDefault="00E46C1D" w:rsidP="00E46C1D">
      <w:pPr>
        <w:autoSpaceDE w:val="0"/>
        <w:spacing w:line="360" w:lineRule="auto"/>
        <w:jc w:val="both"/>
        <w:rPr>
          <w:b/>
        </w:rPr>
      </w:pPr>
    </w:p>
    <w:p w:rsidR="00E46C1D" w:rsidRDefault="00E46C1D" w:rsidP="00E46C1D">
      <w:pPr>
        <w:autoSpaceDE w:val="0"/>
        <w:spacing w:line="360" w:lineRule="auto"/>
        <w:jc w:val="both"/>
        <w:rPr>
          <w:b/>
        </w:rPr>
      </w:pPr>
    </w:p>
    <w:p w:rsidR="00173C82" w:rsidRDefault="00173C82"/>
    <w:p w:rsidR="005C22AA" w:rsidRDefault="005C22AA"/>
    <w:sectPr w:rsidR="005C22AA" w:rsidSect="00173C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E46C1D"/>
    <w:rsid w:val="0009011B"/>
    <w:rsid w:val="00132228"/>
    <w:rsid w:val="00173C82"/>
    <w:rsid w:val="001D4CE5"/>
    <w:rsid w:val="003A1A95"/>
    <w:rsid w:val="003C5CDF"/>
    <w:rsid w:val="003E383A"/>
    <w:rsid w:val="0057117A"/>
    <w:rsid w:val="005C22AA"/>
    <w:rsid w:val="007906F4"/>
    <w:rsid w:val="008A7A83"/>
    <w:rsid w:val="009442AA"/>
    <w:rsid w:val="009D67E1"/>
    <w:rsid w:val="009E4B1F"/>
    <w:rsid w:val="00C15985"/>
    <w:rsid w:val="00CD008E"/>
    <w:rsid w:val="00E46C1D"/>
    <w:rsid w:val="00F0021F"/>
    <w:rsid w:val="00FA6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C1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E46C1D"/>
    <w:pPr>
      <w:spacing w:before="280" w:after="280"/>
    </w:pPr>
  </w:style>
  <w:style w:type="paragraph" w:styleId="Legenda">
    <w:name w:val="caption"/>
    <w:basedOn w:val="Normal"/>
    <w:next w:val="Normal"/>
    <w:qFormat/>
    <w:rsid w:val="00E46C1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46C1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6C1D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spelle">
    <w:name w:val="spelle"/>
    <w:basedOn w:val="Fontepargpadro"/>
    <w:rsid w:val="005C22AA"/>
    <w:rPr>
      <w:rFonts w:cs="Times New Roman"/>
    </w:rPr>
  </w:style>
  <w:style w:type="paragraph" w:styleId="Ttulo">
    <w:name w:val="Title"/>
    <w:basedOn w:val="Normal"/>
    <w:next w:val="Normal"/>
    <w:link w:val="TtuloChar"/>
    <w:qFormat/>
    <w:rsid w:val="005C22AA"/>
    <w:pPr>
      <w:spacing w:before="280" w:after="280"/>
    </w:pPr>
    <w:rPr>
      <w:color w:val="000000"/>
    </w:rPr>
  </w:style>
  <w:style w:type="character" w:customStyle="1" w:styleId="TtuloChar">
    <w:name w:val="Título Char"/>
    <w:basedOn w:val="Fontepargpadro"/>
    <w:link w:val="Ttulo"/>
    <w:rsid w:val="005C22AA"/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5C22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5C22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3002</Words>
  <Characters>16216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GRUPO</Company>
  <LinksUpToDate>false</LinksUpToDate>
  <CharactersWithSpaces>19180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</dc:creator>
  <cp:keywords/>
  <dc:description/>
  <cp:lastModifiedBy>Helena</cp:lastModifiedBy>
  <cp:revision>3</cp:revision>
  <dcterms:created xsi:type="dcterms:W3CDTF">2013-01-22T16:39:00Z</dcterms:created>
  <dcterms:modified xsi:type="dcterms:W3CDTF">2013-01-22T17:01:00Z</dcterms:modified>
</cp:coreProperties>
</file>